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13AF" w:rsidRDefault="00FE13AF" w:rsidP="00FE13AF">
      <w:pPr>
        <w:jc w:val="center"/>
        <w:rPr>
          <w:rFonts w:asciiTheme="majorHAnsi" w:hAnsiTheme="majorHAnsi" w:cstheme="majorHAnsi"/>
          <w:b/>
          <w:bCs/>
          <w:szCs w:val="24"/>
        </w:rPr>
      </w:pPr>
    </w:p>
    <w:p w:rsidR="004726EA" w:rsidRPr="009209BC" w:rsidRDefault="004726EA" w:rsidP="00FE13AF">
      <w:pPr>
        <w:jc w:val="center"/>
        <w:rPr>
          <w:rFonts w:asciiTheme="majorHAnsi" w:hAnsiTheme="majorHAnsi" w:cstheme="majorHAnsi"/>
          <w:b/>
          <w:bCs/>
        </w:rPr>
      </w:pPr>
    </w:p>
    <w:p w:rsidR="005C2A42" w:rsidRPr="002B5CF3" w:rsidRDefault="00D50AC3" w:rsidP="005C2A42">
      <w:pPr>
        <w:jc w:val="center"/>
        <w:rPr>
          <w:rFonts w:asciiTheme="majorHAnsi" w:hAnsiTheme="majorHAnsi" w:cstheme="majorHAnsi"/>
          <w:b/>
          <w:bCs/>
          <w:sz w:val="24"/>
        </w:rPr>
      </w:pPr>
      <w:r w:rsidRPr="002B5CF3">
        <w:rPr>
          <w:rFonts w:asciiTheme="majorHAnsi" w:hAnsiTheme="majorHAnsi" w:cstheme="majorHAnsi"/>
          <w:b/>
          <w:bCs/>
          <w:sz w:val="24"/>
        </w:rPr>
        <w:t>SOSTENIBILITA’ SEMPRE PIU’ STRATEGICA PER LE</w:t>
      </w:r>
      <w:r w:rsidR="002B5CF3" w:rsidRPr="002B5CF3">
        <w:rPr>
          <w:rFonts w:asciiTheme="majorHAnsi" w:hAnsiTheme="majorHAnsi" w:cstheme="majorHAnsi"/>
          <w:b/>
          <w:bCs/>
          <w:sz w:val="24"/>
        </w:rPr>
        <w:t xml:space="preserve"> SOCIETA’</w:t>
      </w:r>
      <w:r w:rsidRPr="002B5CF3">
        <w:rPr>
          <w:rFonts w:asciiTheme="majorHAnsi" w:hAnsiTheme="majorHAnsi" w:cstheme="majorHAnsi"/>
          <w:b/>
          <w:bCs/>
          <w:sz w:val="24"/>
        </w:rPr>
        <w:t xml:space="preserve"> QUOTATE ITALIANE</w:t>
      </w:r>
    </w:p>
    <w:p w:rsidR="002B5CF3" w:rsidRPr="00E42CDF" w:rsidRDefault="002344D9" w:rsidP="003C181E">
      <w:pPr>
        <w:jc w:val="center"/>
        <w:rPr>
          <w:rFonts w:asciiTheme="majorHAnsi" w:hAnsiTheme="majorHAnsi" w:cstheme="majorHAnsi"/>
          <w:b/>
          <w:bCs/>
          <w:sz w:val="24"/>
        </w:rPr>
      </w:pPr>
      <w:r>
        <w:rPr>
          <w:rFonts w:asciiTheme="majorHAnsi" w:hAnsiTheme="majorHAnsi" w:cstheme="majorHAnsi"/>
          <w:b/>
          <w:bCs/>
          <w:sz w:val="24"/>
        </w:rPr>
        <w:t>S</w:t>
      </w:r>
      <w:r w:rsidR="002B5CF3">
        <w:rPr>
          <w:rFonts w:asciiTheme="majorHAnsi" w:hAnsiTheme="majorHAnsi" w:cstheme="majorHAnsi"/>
          <w:b/>
          <w:bCs/>
          <w:sz w:val="24"/>
        </w:rPr>
        <w:t>alto d</w:t>
      </w:r>
      <w:r w:rsidR="00967EE0">
        <w:rPr>
          <w:rFonts w:asciiTheme="majorHAnsi" w:hAnsiTheme="majorHAnsi" w:cstheme="majorHAnsi"/>
          <w:b/>
          <w:bCs/>
          <w:sz w:val="24"/>
        </w:rPr>
        <w:t>i qualità e di rilevanza della S</w:t>
      </w:r>
      <w:r w:rsidR="002B5CF3">
        <w:rPr>
          <w:rFonts w:asciiTheme="majorHAnsi" w:hAnsiTheme="majorHAnsi" w:cstheme="majorHAnsi"/>
          <w:b/>
          <w:bCs/>
          <w:sz w:val="24"/>
        </w:rPr>
        <w:t>ostenibilità nel</w:t>
      </w:r>
      <w:r w:rsidR="00095DB0">
        <w:rPr>
          <w:rFonts w:asciiTheme="majorHAnsi" w:hAnsiTheme="majorHAnsi" w:cstheme="majorHAnsi"/>
          <w:b/>
          <w:bCs/>
          <w:sz w:val="24"/>
        </w:rPr>
        <w:t xml:space="preserve"> governo </w:t>
      </w:r>
      <w:r w:rsidR="002B5CF3">
        <w:rPr>
          <w:rFonts w:asciiTheme="majorHAnsi" w:hAnsiTheme="majorHAnsi" w:cstheme="majorHAnsi"/>
          <w:b/>
          <w:bCs/>
          <w:sz w:val="24"/>
        </w:rPr>
        <w:t xml:space="preserve">e nella gestione </w:t>
      </w:r>
      <w:r w:rsidR="00EA5DFC">
        <w:rPr>
          <w:rFonts w:asciiTheme="majorHAnsi" w:hAnsiTheme="majorHAnsi" w:cstheme="majorHAnsi"/>
          <w:b/>
          <w:bCs/>
          <w:sz w:val="24"/>
        </w:rPr>
        <w:t>delle imprese italiane</w:t>
      </w:r>
      <w:r>
        <w:rPr>
          <w:rFonts w:asciiTheme="majorHAnsi" w:hAnsiTheme="majorHAnsi" w:cstheme="majorHAnsi"/>
          <w:b/>
          <w:bCs/>
          <w:sz w:val="24"/>
        </w:rPr>
        <w:t>,</w:t>
      </w:r>
      <w:r w:rsidR="00EA5DFC">
        <w:rPr>
          <w:rFonts w:asciiTheme="majorHAnsi" w:hAnsiTheme="majorHAnsi" w:cstheme="majorHAnsi"/>
          <w:b/>
          <w:bCs/>
          <w:sz w:val="24"/>
        </w:rPr>
        <w:t xml:space="preserve"> </w:t>
      </w:r>
      <w:r w:rsidR="002B5CF3">
        <w:rPr>
          <w:rFonts w:asciiTheme="majorHAnsi" w:hAnsiTheme="majorHAnsi" w:cstheme="majorHAnsi"/>
          <w:b/>
          <w:bCs/>
          <w:sz w:val="24"/>
        </w:rPr>
        <w:t xml:space="preserve">secondo </w:t>
      </w:r>
      <w:r>
        <w:rPr>
          <w:rFonts w:asciiTheme="majorHAnsi" w:hAnsiTheme="majorHAnsi" w:cstheme="majorHAnsi"/>
          <w:b/>
          <w:bCs/>
          <w:sz w:val="24"/>
        </w:rPr>
        <w:t>uno studio realizzato</w:t>
      </w:r>
      <w:r w:rsidR="00E42CDF">
        <w:rPr>
          <w:rFonts w:asciiTheme="majorHAnsi" w:hAnsiTheme="majorHAnsi" w:cstheme="majorHAnsi"/>
          <w:b/>
          <w:bCs/>
          <w:sz w:val="24"/>
        </w:rPr>
        <w:t xml:space="preserve"> da CSR Manager Network,</w:t>
      </w:r>
      <w:r w:rsidR="002B5CF3">
        <w:rPr>
          <w:rFonts w:asciiTheme="majorHAnsi" w:hAnsiTheme="majorHAnsi" w:cstheme="majorHAnsi"/>
          <w:b/>
          <w:bCs/>
          <w:sz w:val="24"/>
        </w:rPr>
        <w:t xml:space="preserve"> Assonime</w:t>
      </w:r>
      <w:r w:rsidR="002B5CF3" w:rsidRPr="002B5CF3">
        <w:rPr>
          <w:rFonts w:asciiTheme="majorHAnsi" w:hAnsiTheme="majorHAnsi" w:cstheme="majorHAnsi"/>
          <w:b/>
          <w:bCs/>
          <w:sz w:val="24"/>
        </w:rPr>
        <w:t xml:space="preserve"> </w:t>
      </w:r>
      <w:r w:rsidR="00E42CDF">
        <w:rPr>
          <w:rFonts w:asciiTheme="majorHAnsi" w:hAnsiTheme="majorHAnsi" w:cstheme="majorHAnsi"/>
          <w:b/>
          <w:bCs/>
          <w:sz w:val="24"/>
        </w:rPr>
        <w:t>e</w:t>
      </w:r>
      <w:r w:rsidR="003C181E" w:rsidRPr="00E42CDF">
        <w:rPr>
          <w:rFonts w:asciiTheme="majorHAnsi" w:hAnsiTheme="majorHAnsi" w:cstheme="majorHAnsi"/>
          <w:b/>
          <w:bCs/>
          <w:sz w:val="24"/>
        </w:rPr>
        <w:t xml:space="preserve"> ALTIS</w:t>
      </w:r>
    </w:p>
    <w:p w:rsidR="00095DB0" w:rsidRPr="00E42CDF" w:rsidRDefault="00095DB0" w:rsidP="002344D9">
      <w:pPr>
        <w:rPr>
          <w:rFonts w:asciiTheme="majorHAnsi" w:hAnsiTheme="majorHAnsi"/>
          <w:i/>
        </w:rPr>
      </w:pPr>
    </w:p>
    <w:p w:rsidR="00095DB0" w:rsidRPr="00E42CDF" w:rsidRDefault="00FE13AF" w:rsidP="00F22446">
      <w:pPr>
        <w:spacing w:after="120" w:line="240" w:lineRule="auto"/>
        <w:jc w:val="both"/>
        <w:rPr>
          <w:rFonts w:asciiTheme="majorHAnsi" w:hAnsiTheme="majorHAnsi"/>
          <w:b/>
        </w:rPr>
      </w:pPr>
      <w:r w:rsidRPr="00E42CDF">
        <w:rPr>
          <w:rFonts w:asciiTheme="majorHAnsi" w:hAnsiTheme="majorHAnsi"/>
          <w:i/>
        </w:rPr>
        <w:t xml:space="preserve">Milano, </w:t>
      </w:r>
      <w:r w:rsidR="002B5CF3" w:rsidRPr="00E42CDF">
        <w:rPr>
          <w:rFonts w:asciiTheme="majorHAnsi" w:hAnsiTheme="majorHAnsi"/>
          <w:i/>
        </w:rPr>
        <w:t>12 febbraio</w:t>
      </w:r>
      <w:r w:rsidR="00A65AD4" w:rsidRPr="00E42CDF">
        <w:rPr>
          <w:rFonts w:asciiTheme="majorHAnsi" w:hAnsiTheme="majorHAnsi"/>
          <w:i/>
        </w:rPr>
        <w:t xml:space="preserve"> 201</w:t>
      </w:r>
      <w:r w:rsidR="002B5CF3" w:rsidRPr="00E42CDF">
        <w:rPr>
          <w:rFonts w:asciiTheme="majorHAnsi" w:hAnsiTheme="majorHAnsi"/>
          <w:i/>
        </w:rPr>
        <w:t>8</w:t>
      </w:r>
      <w:r w:rsidRPr="00E42CDF">
        <w:rPr>
          <w:rFonts w:asciiTheme="majorHAnsi" w:hAnsiTheme="majorHAnsi"/>
        </w:rPr>
        <w:t xml:space="preserve"> –</w:t>
      </w:r>
      <w:r w:rsidR="002344D9" w:rsidRPr="00E42CDF">
        <w:rPr>
          <w:rFonts w:asciiTheme="majorHAnsi" w:hAnsiTheme="majorHAnsi"/>
        </w:rPr>
        <w:t xml:space="preserve"> </w:t>
      </w:r>
      <w:r w:rsidR="00095DB0" w:rsidRPr="00E42CDF">
        <w:rPr>
          <w:rFonts w:asciiTheme="majorHAnsi" w:hAnsiTheme="majorHAnsi"/>
        </w:rPr>
        <w:t>Presentata a Milano, durante l’annuale appuntamento di Assonime e Consob,</w:t>
      </w:r>
      <w:r w:rsidR="002344D9" w:rsidRPr="00E42CDF">
        <w:rPr>
          <w:rFonts w:asciiTheme="majorHAnsi" w:hAnsiTheme="majorHAnsi"/>
        </w:rPr>
        <w:t xml:space="preserve"> la ricerca sulla </w:t>
      </w:r>
      <w:r w:rsidR="00095DB0" w:rsidRPr="00E42CDF">
        <w:rPr>
          <w:rFonts w:asciiTheme="majorHAnsi" w:hAnsiTheme="majorHAnsi"/>
          <w:b/>
        </w:rPr>
        <w:t>“</w:t>
      </w:r>
      <w:r w:rsidR="002344D9" w:rsidRPr="00E42CDF">
        <w:rPr>
          <w:rFonts w:asciiTheme="majorHAnsi" w:hAnsiTheme="majorHAnsi"/>
          <w:b/>
        </w:rPr>
        <w:t>Governance della Sostenibilità nelle imprese quotate italiane</w:t>
      </w:r>
      <w:r w:rsidR="00095DB0" w:rsidRPr="00E42CDF">
        <w:rPr>
          <w:rFonts w:asciiTheme="majorHAnsi" w:hAnsiTheme="majorHAnsi"/>
          <w:b/>
        </w:rPr>
        <w:t>”</w:t>
      </w:r>
      <w:r w:rsidR="00911E76" w:rsidRPr="00E42CDF">
        <w:rPr>
          <w:rFonts w:asciiTheme="majorHAnsi" w:hAnsiTheme="majorHAnsi"/>
          <w:b/>
        </w:rPr>
        <w:t xml:space="preserve">. </w:t>
      </w:r>
      <w:r w:rsidR="00911E76" w:rsidRPr="00E42CDF">
        <w:rPr>
          <w:rFonts w:asciiTheme="majorHAnsi" w:hAnsiTheme="majorHAnsi"/>
          <w:b/>
        </w:rPr>
        <w:br/>
      </w:r>
      <w:r w:rsidR="00911E76" w:rsidRPr="00E42CDF">
        <w:rPr>
          <w:rFonts w:asciiTheme="majorHAnsi" w:hAnsiTheme="majorHAnsi"/>
        </w:rPr>
        <w:t>Lo studio è stato</w:t>
      </w:r>
      <w:r w:rsidR="002344D9" w:rsidRPr="00E42CDF">
        <w:rPr>
          <w:rFonts w:asciiTheme="majorHAnsi" w:hAnsiTheme="majorHAnsi"/>
        </w:rPr>
        <w:t xml:space="preserve"> condott</w:t>
      </w:r>
      <w:r w:rsidR="00911E76" w:rsidRPr="00E42CDF">
        <w:rPr>
          <w:rFonts w:asciiTheme="majorHAnsi" w:hAnsiTheme="majorHAnsi"/>
        </w:rPr>
        <w:t>o da</w:t>
      </w:r>
      <w:r w:rsidR="002344D9" w:rsidRPr="00E42CDF">
        <w:rPr>
          <w:rFonts w:asciiTheme="majorHAnsi" w:hAnsiTheme="majorHAnsi"/>
        </w:rPr>
        <w:t xml:space="preserve"> </w:t>
      </w:r>
      <w:hyperlink r:id="rId7" w:history="1">
        <w:r w:rsidR="00585DCB" w:rsidRPr="00E42CDF">
          <w:rPr>
            <w:rStyle w:val="Collegamentoipertestuale"/>
            <w:rFonts w:asciiTheme="majorHAnsi" w:hAnsiTheme="majorHAnsi" w:cstheme="majorHAnsi"/>
            <w:b/>
          </w:rPr>
          <w:t>CSR Manager Network</w:t>
        </w:r>
      </w:hyperlink>
      <w:r w:rsidR="00585DCB" w:rsidRPr="00E42CDF">
        <w:rPr>
          <w:rFonts w:asciiTheme="majorHAnsi" w:hAnsiTheme="majorHAnsi" w:cstheme="majorHAnsi"/>
        </w:rPr>
        <w:t xml:space="preserve"> </w:t>
      </w:r>
      <w:r w:rsidR="00967EE0" w:rsidRPr="00E42CDF">
        <w:rPr>
          <w:rFonts w:asciiTheme="majorHAnsi" w:hAnsiTheme="majorHAnsi" w:cstheme="majorHAnsi"/>
        </w:rPr>
        <w:t xml:space="preserve"> </w:t>
      </w:r>
      <w:r w:rsidR="006A334E" w:rsidRPr="00E42CDF">
        <w:rPr>
          <w:rFonts w:asciiTheme="majorHAnsi" w:hAnsiTheme="majorHAnsi" w:cstheme="majorHAnsi"/>
        </w:rPr>
        <w:t>(</w:t>
      </w:r>
      <w:r w:rsidR="00585DCB" w:rsidRPr="00E42CDF">
        <w:rPr>
          <w:rFonts w:asciiTheme="majorHAnsi" w:hAnsiTheme="majorHAnsi" w:cstheme="majorHAnsi"/>
          <w:lang w:eastAsia="it-IT"/>
        </w:rPr>
        <w:t>associazione italiana che riunisce oltre 130 professionisti che si dedicano a strategie e progetti socio-ambientali e di sostenibilità</w:t>
      </w:r>
      <w:r w:rsidR="006A334E" w:rsidRPr="00E42CDF">
        <w:rPr>
          <w:rFonts w:asciiTheme="majorHAnsi" w:hAnsiTheme="majorHAnsi" w:cstheme="majorHAnsi"/>
          <w:lang w:eastAsia="it-IT"/>
        </w:rPr>
        <w:t>)</w:t>
      </w:r>
      <w:r w:rsidR="00585DCB" w:rsidRPr="00E42CDF">
        <w:rPr>
          <w:rFonts w:asciiTheme="majorHAnsi" w:hAnsiTheme="majorHAnsi" w:cstheme="majorHAnsi"/>
          <w:b/>
          <w:lang w:eastAsia="it-IT"/>
        </w:rPr>
        <w:t xml:space="preserve"> </w:t>
      </w:r>
      <w:r w:rsidR="002344D9" w:rsidRPr="00E42CDF">
        <w:rPr>
          <w:rFonts w:asciiTheme="majorHAnsi" w:hAnsiTheme="majorHAnsi"/>
        </w:rPr>
        <w:t xml:space="preserve">con la collaborazione di </w:t>
      </w:r>
      <w:hyperlink r:id="rId8" w:history="1">
        <w:r w:rsidR="002344D9" w:rsidRPr="00E42CDF">
          <w:rPr>
            <w:rStyle w:val="Collegamentoipertestuale"/>
            <w:rFonts w:asciiTheme="majorHAnsi" w:hAnsiTheme="majorHAnsi"/>
            <w:b/>
          </w:rPr>
          <w:t>Assonime</w:t>
        </w:r>
      </w:hyperlink>
      <w:r w:rsidR="00911E76" w:rsidRPr="00E42CDF">
        <w:rPr>
          <w:rFonts w:asciiTheme="majorHAnsi" w:hAnsiTheme="majorHAnsi"/>
        </w:rPr>
        <w:t xml:space="preserve"> </w:t>
      </w:r>
      <w:r w:rsidR="006A334E" w:rsidRPr="00E42CDF">
        <w:rPr>
          <w:rFonts w:asciiTheme="majorHAnsi" w:hAnsiTheme="majorHAnsi"/>
        </w:rPr>
        <w:t>(Associazione fra le società italiane per azioni)</w:t>
      </w:r>
      <w:r w:rsidR="006A334E" w:rsidRPr="00E42CDF">
        <w:rPr>
          <w:rFonts w:ascii="Gotham-Bold" w:hAnsi="Gotham-Bold" w:cs="Gotham-Bold"/>
          <w:b/>
          <w:bCs/>
          <w:sz w:val="20"/>
          <w:szCs w:val="20"/>
        </w:rPr>
        <w:t xml:space="preserve"> </w:t>
      </w:r>
      <w:r w:rsidR="00585DCB" w:rsidRPr="00E42CDF">
        <w:rPr>
          <w:rFonts w:asciiTheme="majorHAnsi" w:hAnsiTheme="majorHAnsi"/>
        </w:rPr>
        <w:t>e</w:t>
      </w:r>
      <w:r w:rsidR="002344D9" w:rsidRPr="00E42CDF">
        <w:rPr>
          <w:rFonts w:asciiTheme="majorHAnsi" w:hAnsiTheme="majorHAnsi"/>
        </w:rPr>
        <w:t xml:space="preserve"> l’apporto scientifico di </w:t>
      </w:r>
      <w:hyperlink r:id="rId9" w:history="1">
        <w:r w:rsidR="002344D9" w:rsidRPr="00E42CDF">
          <w:rPr>
            <w:rStyle w:val="Collegamentoipertestuale"/>
            <w:rFonts w:asciiTheme="majorHAnsi" w:hAnsiTheme="majorHAnsi"/>
            <w:b/>
          </w:rPr>
          <w:t>ALTIS</w:t>
        </w:r>
        <w:r w:rsidR="002344D9" w:rsidRPr="00E42CDF">
          <w:rPr>
            <w:rStyle w:val="Collegamentoipertestuale"/>
            <w:rFonts w:asciiTheme="majorHAnsi" w:hAnsiTheme="majorHAnsi"/>
          </w:rPr>
          <w:t xml:space="preserve"> </w:t>
        </w:r>
      </w:hyperlink>
      <w:r w:rsidR="003C181E" w:rsidRPr="00E42CDF">
        <w:rPr>
          <w:rFonts w:asciiTheme="majorHAnsi" w:hAnsiTheme="majorHAnsi"/>
        </w:rPr>
        <w:t xml:space="preserve"> </w:t>
      </w:r>
      <w:r w:rsidR="003C181E" w:rsidRPr="00E42CDF">
        <w:rPr>
          <w:rFonts w:asciiTheme="majorHAnsi" w:hAnsiTheme="majorHAnsi"/>
          <w:b/>
        </w:rPr>
        <w:t xml:space="preserve">- Alta Scuola Impresa e Società </w:t>
      </w:r>
      <w:r w:rsidR="003C181E" w:rsidRPr="00E42CDF">
        <w:rPr>
          <w:rFonts w:asciiTheme="majorHAnsi" w:hAnsiTheme="majorHAnsi"/>
        </w:rPr>
        <w:t>e</w:t>
      </w:r>
      <w:r w:rsidR="002344D9" w:rsidRPr="00E42CDF">
        <w:rPr>
          <w:rFonts w:asciiTheme="majorHAnsi" w:hAnsiTheme="majorHAnsi"/>
        </w:rPr>
        <w:t xml:space="preserve"> grazie al contributo di </w:t>
      </w:r>
      <w:r w:rsidR="002344D9" w:rsidRPr="00E42CDF">
        <w:rPr>
          <w:rFonts w:asciiTheme="majorHAnsi" w:hAnsiTheme="majorHAnsi"/>
          <w:b/>
        </w:rPr>
        <w:t>Enel, Assicurazioni Generali, Costa Crociere, Gruppo Hera, KPMG</w:t>
      </w:r>
      <w:r w:rsidR="002344D9" w:rsidRPr="00E42CDF">
        <w:rPr>
          <w:rFonts w:asciiTheme="majorHAnsi" w:hAnsiTheme="majorHAnsi"/>
        </w:rPr>
        <w:t xml:space="preserve"> e </w:t>
      </w:r>
      <w:r w:rsidR="002344D9" w:rsidRPr="00E42CDF">
        <w:rPr>
          <w:rFonts w:asciiTheme="majorHAnsi" w:hAnsiTheme="majorHAnsi"/>
          <w:b/>
        </w:rPr>
        <w:t>Terna</w:t>
      </w:r>
      <w:r w:rsidR="002344D9" w:rsidRPr="00E42CDF">
        <w:rPr>
          <w:rFonts w:asciiTheme="majorHAnsi" w:hAnsiTheme="majorHAnsi"/>
        </w:rPr>
        <w:t>.</w:t>
      </w:r>
    </w:p>
    <w:p w:rsidR="00F03A35" w:rsidRPr="00E42CDF" w:rsidRDefault="00F03A35" w:rsidP="00095DB0">
      <w:pPr>
        <w:spacing w:after="120" w:line="240" w:lineRule="auto"/>
        <w:jc w:val="both"/>
        <w:rPr>
          <w:rFonts w:asciiTheme="majorHAnsi" w:hAnsiTheme="majorHAnsi"/>
          <w:sz w:val="2"/>
        </w:rPr>
      </w:pPr>
    </w:p>
    <w:p w:rsidR="00095DB0" w:rsidRPr="00E42CDF" w:rsidRDefault="00095DB0" w:rsidP="008A6FD8">
      <w:pPr>
        <w:pStyle w:val="NormaleWeb"/>
        <w:shd w:val="clear" w:color="auto" w:fill="FFFFFF"/>
        <w:spacing w:before="0" w:beforeAutospacing="0" w:after="0" w:afterAutospacing="0"/>
        <w:jc w:val="both"/>
        <w:textAlignment w:val="baseline"/>
        <w:rPr>
          <w:rFonts w:asciiTheme="majorHAnsi" w:hAnsiTheme="majorHAnsi" w:cstheme="majorHAnsi"/>
          <w:i/>
        </w:rPr>
      </w:pPr>
      <w:r w:rsidRPr="00E42CDF">
        <w:rPr>
          <w:rFonts w:asciiTheme="majorHAnsi" w:hAnsiTheme="majorHAnsi"/>
          <w:i/>
        </w:rPr>
        <w:t>“</w:t>
      </w:r>
      <w:r w:rsidR="00EE6872" w:rsidRPr="00E42CDF">
        <w:rPr>
          <w:rFonts w:asciiTheme="majorHAnsi" w:eastAsiaTheme="minorHAnsi" w:hAnsiTheme="majorHAnsi" w:cstheme="minorBidi"/>
          <w:i/>
          <w:sz w:val="22"/>
          <w:szCs w:val="22"/>
          <w:lang w:eastAsia="en-US"/>
        </w:rPr>
        <w:t xml:space="preserve">I temi </w:t>
      </w:r>
      <w:r w:rsidRPr="00E42CDF">
        <w:rPr>
          <w:rFonts w:asciiTheme="majorHAnsi" w:eastAsiaTheme="minorHAnsi" w:hAnsiTheme="majorHAnsi" w:cstheme="minorBidi"/>
          <w:i/>
          <w:sz w:val="22"/>
          <w:szCs w:val="22"/>
          <w:lang w:eastAsia="en-US"/>
        </w:rPr>
        <w:t xml:space="preserve">della </w:t>
      </w:r>
      <w:r w:rsidR="00967EE0" w:rsidRPr="00E42CDF">
        <w:rPr>
          <w:rFonts w:asciiTheme="majorHAnsi" w:eastAsiaTheme="minorHAnsi" w:hAnsiTheme="majorHAnsi" w:cstheme="minorBidi"/>
          <w:i/>
          <w:sz w:val="22"/>
          <w:szCs w:val="22"/>
          <w:lang w:eastAsia="en-US"/>
        </w:rPr>
        <w:t>s</w:t>
      </w:r>
      <w:r w:rsidRPr="00E42CDF">
        <w:rPr>
          <w:rFonts w:asciiTheme="majorHAnsi" w:eastAsiaTheme="minorHAnsi" w:hAnsiTheme="majorHAnsi" w:cstheme="minorBidi"/>
          <w:i/>
          <w:sz w:val="22"/>
          <w:szCs w:val="22"/>
          <w:lang w:eastAsia="en-US"/>
        </w:rPr>
        <w:t xml:space="preserve">ostenibilità </w:t>
      </w:r>
      <w:r w:rsidR="00EE6872" w:rsidRPr="00E42CDF">
        <w:rPr>
          <w:rFonts w:asciiTheme="majorHAnsi" w:eastAsiaTheme="minorHAnsi" w:hAnsiTheme="majorHAnsi" w:cstheme="minorBidi"/>
          <w:i/>
          <w:sz w:val="22"/>
          <w:szCs w:val="22"/>
          <w:lang w:eastAsia="en-US"/>
        </w:rPr>
        <w:t xml:space="preserve">sono entrati </w:t>
      </w:r>
      <w:r w:rsidRPr="00E42CDF">
        <w:rPr>
          <w:rFonts w:asciiTheme="majorHAnsi" w:eastAsiaTheme="minorHAnsi" w:hAnsiTheme="majorHAnsi" w:cstheme="minorBidi"/>
          <w:i/>
          <w:sz w:val="22"/>
          <w:szCs w:val="22"/>
          <w:lang w:eastAsia="en-US"/>
        </w:rPr>
        <w:t xml:space="preserve">nei C.d.A. e il percorso di integrazione nel governo e nella gestione aziendale appare ormai irreversibile” </w:t>
      </w:r>
      <w:r w:rsidRPr="00E42CDF">
        <w:rPr>
          <w:rFonts w:asciiTheme="majorHAnsi" w:eastAsiaTheme="minorHAnsi" w:hAnsiTheme="majorHAnsi" w:cstheme="minorBidi"/>
          <w:sz w:val="22"/>
          <w:szCs w:val="22"/>
          <w:lang w:eastAsia="en-US"/>
        </w:rPr>
        <w:t>–</w:t>
      </w:r>
      <w:r w:rsidR="00F22446" w:rsidRPr="00E42CDF">
        <w:rPr>
          <w:rFonts w:asciiTheme="majorHAnsi" w:eastAsiaTheme="minorHAnsi" w:hAnsiTheme="majorHAnsi" w:cstheme="minorBidi"/>
          <w:sz w:val="22"/>
          <w:szCs w:val="22"/>
          <w:lang w:eastAsia="en-US"/>
        </w:rPr>
        <w:t xml:space="preserve"> </w:t>
      </w:r>
      <w:r w:rsidRPr="00E42CDF">
        <w:rPr>
          <w:rFonts w:asciiTheme="majorHAnsi" w:eastAsiaTheme="minorHAnsi" w:hAnsiTheme="majorHAnsi" w:cstheme="minorBidi"/>
          <w:sz w:val="22"/>
          <w:szCs w:val="22"/>
          <w:lang w:eastAsia="en-US"/>
        </w:rPr>
        <w:t xml:space="preserve">afferma </w:t>
      </w:r>
      <w:r w:rsidRPr="00E42CDF">
        <w:rPr>
          <w:rFonts w:asciiTheme="majorHAnsi" w:eastAsiaTheme="minorHAnsi" w:hAnsiTheme="majorHAnsi" w:cstheme="minorBidi"/>
          <w:b/>
          <w:sz w:val="22"/>
          <w:szCs w:val="22"/>
          <w:lang w:eastAsia="en-US"/>
        </w:rPr>
        <w:t xml:space="preserve">Fulvio Rossi, presidente del CSR Manager Network e </w:t>
      </w:r>
      <w:proofErr w:type="spellStart"/>
      <w:r w:rsidR="005F325B">
        <w:rPr>
          <w:rFonts w:asciiTheme="majorHAnsi" w:eastAsiaTheme="minorHAnsi" w:hAnsiTheme="majorHAnsi" w:cstheme="minorBidi"/>
          <w:b/>
          <w:sz w:val="22"/>
          <w:szCs w:val="22"/>
          <w:lang w:eastAsia="en-US"/>
        </w:rPr>
        <w:t>Tesponsabile</w:t>
      </w:r>
      <w:proofErr w:type="spellEnd"/>
      <w:r w:rsidR="005F325B">
        <w:rPr>
          <w:rFonts w:asciiTheme="majorHAnsi" w:eastAsiaTheme="minorHAnsi" w:hAnsiTheme="majorHAnsi" w:cstheme="minorBidi"/>
          <w:b/>
          <w:sz w:val="22"/>
          <w:szCs w:val="22"/>
          <w:lang w:eastAsia="en-US"/>
        </w:rPr>
        <w:t xml:space="preserve"> Sostenibilità di </w:t>
      </w:r>
      <w:r w:rsidRPr="00E42CDF">
        <w:rPr>
          <w:rFonts w:asciiTheme="majorHAnsi" w:eastAsiaTheme="minorHAnsi" w:hAnsiTheme="majorHAnsi" w:cstheme="minorBidi"/>
          <w:b/>
          <w:sz w:val="22"/>
          <w:szCs w:val="22"/>
          <w:lang w:eastAsia="en-US"/>
        </w:rPr>
        <w:t>Terna</w:t>
      </w:r>
      <w:r w:rsidR="005F325B">
        <w:rPr>
          <w:rFonts w:asciiTheme="majorHAnsi" w:eastAsiaTheme="minorHAnsi" w:hAnsiTheme="majorHAnsi" w:cstheme="minorBidi"/>
          <w:b/>
          <w:sz w:val="22"/>
          <w:szCs w:val="22"/>
          <w:lang w:eastAsia="en-US"/>
        </w:rPr>
        <w:t xml:space="preserve"> SpA</w:t>
      </w:r>
      <w:bookmarkStart w:id="0" w:name="_GoBack"/>
      <w:bookmarkEnd w:id="0"/>
      <w:r w:rsidR="006A334E" w:rsidRPr="00E42CDF">
        <w:rPr>
          <w:rFonts w:asciiTheme="majorHAnsi" w:eastAsiaTheme="minorHAnsi" w:hAnsiTheme="majorHAnsi" w:cstheme="minorBidi"/>
          <w:sz w:val="22"/>
          <w:szCs w:val="22"/>
          <w:lang w:eastAsia="en-US"/>
        </w:rPr>
        <w:t xml:space="preserve"> </w:t>
      </w:r>
      <w:r w:rsidRPr="00E42CDF">
        <w:rPr>
          <w:rFonts w:asciiTheme="majorHAnsi" w:eastAsiaTheme="minorHAnsi" w:hAnsiTheme="majorHAnsi" w:cstheme="minorBidi"/>
          <w:sz w:val="22"/>
          <w:szCs w:val="22"/>
          <w:lang w:eastAsia="en-US"/>
        </w:rPr>
        <w:t xml:space="preserve">– </w:t>
      </w:r>
      <w:r w:rsidRPr="00E42CDF">
        <w:rPr>
          <w:rFonts w:asciiTheme="majorHAnsi" w:eastAsiaTheme="minorHAnsi" w:hAnsiTheme="majorHAnsi" w:cstheme="minorBidi"/>
          <w:i/>
          <w:sz w:val="22"/>
          <w:szCs w:val="22"/>
          <w:lang w:eastAsia="en-US"/>
        </w:rPr>
        <w:t>“Lo studio registra grandi cambiamenti nei C</w:t>
      </w:r>
      <w:r w:rsidR="00967EE0" w:rsidRPr="00E42CDF">
        <w:rPr>
          <w:rFonts w:asciiTheme="majorHAnsi" w:eastAsiaTheme="minorHAnsi" w:hAnsiTheme="majorHAnsi" w:cstheme="minorBidi"/>
          <w:i/>
          <w:sz w:val="22"/>
          <w:szCs w:val="22"/>
          <w:lang w:eastAsia="en-US"/>
        </w:rPr>
        <w:t>.</w:t>
      </w:r>
      <w:r w:rsidRPr="00E42CDF">
        <w:rPr>
          <w:rFonts w:asciiTheme="majorHAnsi" w:eastAsiaTheme="minorHAnsi" w:hAnsiTheme="majorHAnsi" w:cstheme="minorBidi"/>
          <w:i/>
          <w:sz w:val="22"/>
          <w:szCs w:val="22"/>
          <w:lang w:eastAsia="en-US"/>
        </w:rPr>
        <w:t>d</w:t>
      </w:r>
      <w:r w:rsidR="00967EE0" w:rsidRPr="00E42CDF">
        <w:rPr>
          <w:rFonts w:asciiTheme="majorHAnsi" w:eastAsiaTheme="minorHAnsi" w:hAnsiTheme="majorHAnsi" w:cstheme="minorBidi"/>
          <w:i/>
          <w:sz w:val="22"/>
          <w:szCs w:val="22"/>
          <w:lang w:eastAsia="en-US"/>
        </w:rPr>
        <w:t>.</w:t>
      </w:r>
      <w:r w:rsidRPr="00E42CDF">
        <w:rPr>
          <w:rFonts w:asciiTheme="majorHAnsi" w:eastAsiaTheme="minorHAnsi" w:hAnsiTheme="majorHAnsi" w:cstheme="minorBidi"/>
          <w:i/>
          <w:sz w:val="22"/>
          <w:szCs w:val="22"/>
          <w:lang w:eastAsia="en-US"/>
        </w:rPr>
        <w:t>A</w:t>
      </w:r>
      <w:r w:rsidR="00967EE0" w:rsidRPr="00E42CDF">
        <w:rPr>
          <w:rFonts w:asciiTheme="majorHAnsi" w:eastAsiaTheme="minorHAnsi" w:hAnsiTheme="majorHAnsi" w:cstheme="minorBidi"/>
          <w:i/>
          <w:sz w:val="22"/>
          <w:szCs w:val="22"/>
          <w:lang w:eastAsia="en-US"/>
        </w:rPr>
        <w:t>.</w:t>
      </w:r>
      <w:r w:rsidRPr="00E42CDF">
        <w:rPr>
          <w:rFonts w:asciiTheme="majorHAnsi" w:eastAsiaTheme="minorHAnsi" w:hAnsiTheme="majorHAnsi" w:cstheme="minorBidi"/>
          <w:i/>
          <w:sz w:val="22"/>
          <w:szCs w:val="22"/>
          <w:lang w:eastAsia="en-US"/>
        </w:rPr>
        <w:t xml:space="preserve"> delle società quotate italiane, soprattutto in relazione ai comitati per la sostenibilità. </w:t>
      </w:r>
      <w:r w:rsidR="00EE6872" w:rsidRPr="00E42CDF">
        <w:rPr>
          <w:rFonts w:asciiTheme="majorHAnsi" w:eastAsiaTheme="minorHAnsi" w:hAnsiTheme="majorHAnsi" w:cstheme="minorBidi"/>
          <w:i/>
          <w:sz w:val="22"/>
          <w:szCs w:val="22"/>
          <w:lang w:eastAsia="en-US"/>
        </w:rPr>
        <w:t>M</w:t>
      </w:r>
      <w:r w:rsidRPr="00E42CDF">
        <w:rPr>
          <w:rFonts w:asciiTheme="majorHAnsi" w:eastAsiaTheme="minorHAnsi" w:hAnsiTheme="majorHAnsi" w:cstheme="minorBidi"/>
          <w:i/>
          <w:sz w:val="22"/>
          <w:szCs w:val="22"/>
          <w:lang w:eastAsia="en-US"/>
        </w:rPr>
        <w:t>a è anche aumentat</w:t>
      </w:r>
      <w:r w:rsidR="00967EE0" w:rsidRPr="00E42CDF">
        <w:rPr>
          <w:rFonts w:asciiTheme="majorHAnsi" w:eastAsiaTheme="minorHAnsi" w:hAnsiTheme="majorHAnsi" w:cstheme="minorBidi"/>
          <w:i/>
          <w:sz w:val="22"/>
          <w:szCs w:val="22"/>
          <w:lang w:eastAsia="en-US"/>
        </w:rPr>
        <w:t>o</w:t>
      </w:r>
      <w:r w:rsidRPr="00E42CDF">
        <w:rPr>
          <w:rFonts w:asciiTheme="majorHAnsi" w:eastAsiaTheme="minorHAnsi" w:hAnsiTheme="majorHAnsi" w:cstheme="minorBidi"/>
          <w:i/>
          <w:sz w:val="22"/>
          <w:szCs w:val="22"/>
          <w:lang w:eastAsia="en-US"/>
        </w:rPr>
        <w:t xml:space="preserve"> </w:t>
      </w:r>
      <w:r w:rsidR="00EE6872" w:rsidRPr="00E42CDF">
        <w:rPr>
          <w:rFonts w:asciiTheme="majorHAnsi" w:eastAsiaTheme="minorHAnsi" w:hAnsiTheme="majorHAnsi" w:cstheme="minorBidi"/>
          <w:i/>
          <w:sz w:val="22"/>
          <w:szCs w:val="22"/>
          <w:lang w:eastAsia="en-US"/>
        </w:rPr>
        <w:t xml:space="preserve">l’impatto organizzativo di </w:t>
      </w:r>
      <w:r w:rsidRPr="00E42CDF">
        <w:rPr>
          <w:rFonts w:asciiTheme="majorHAnsi" w:eastAsiaTheme="minorHAnsi" w:hAnsiTheme="majorHAnsi" w:cstheme="minorBidi"/>
          <w:i/>
          <w:sz w:val="22"/>
          <w:szCs w:val="22"/>
          <w:lang w:eastAsia="en-US"/>
        </w:rPr>
        <w:t>tali tematiche, tanto che la sostenibilità rientra spesso fra gli obiettivi strategici delle imprese monitorate.”</w:t>
      </w:r>
    </w:p>
    <w:p w:rsidR="006A334E" w:rsidRPr="00E42CDF" w:rsidRDefault="006A334E" w:rsidP="002344D9">
      <w:pPr>
        <w:spacing w:after="120" w:line="240" w:lineRule="auto"/>
        <w:jc w:val="both"/>
        <w:rPr>
          <w:rFonts w:asciiTheme="majorHAnsi" w:hAnsiTheme="majorHAnsi"/>
          <w:sz w:val="2"/>
          <w:szCs w:val="16"/>
        </w:rPr>
      </w:pPr>
    </w:p>
    <w:p w:rsidR="00916F58" w:rsidRPr="00E42CDF" w:rsidRDefault="008A6FD8" w:rsidP="002344D9">
      <w:pPr>
        <w:spacing w:after="120" w:line="240" w:lineRule="auto"/>
        <w:jc w:val="both"/>
        <w:rPr>
          <w:rFonts w:asciiTheme="majorHAnsi" w:hAnsiTheme="majorHAnsi"/>
        </w:rPr>
      </w:pPr>
      <w:r w:rsidRPr="00E42CDF">
        <w:rPr>
          <w:rFonts w:asciiTheme="majorHAnsi" w:hAnsiTheme="majorHAnsi"/>
        </w:rPr>
        <w:t xml:space="preserve">Con </w:t>
      </w:r>
      <w:r w:rsidR="00916F58" w:rsidRPr="00E42CDF">
        <w:rPr>
          <w:rFonts w:asciiTheme="majorHAnsi" w:hAnsiTheme="majorHAnsi"/>
        </w:rPr>
        <w:t>l’entrata in vigore delle modifiche apportate nel 2015 al Codice di autodisciplina delle società quotate alla Borsa Italiana</w:t>
      </w:r>
      <w:r w:rsidR="00967EE0" w:rsidRPr="00E42CDF">
        <w:rPr>
          <w:rFonts w:asciiTheme="majorHAnsi" w:hAnsiTheme="majorHAnsi"/>
        </w:rPr>
        <w:t>, la s</w:t>
      </w:r>
      <w:r w:rsidRPr="00E42CDF">
        <w:rPr>
          <w:rFonts w:asciiTheme="majorHAnsi" w:hAnsiTheme="majorHAnsi"/>
        </w:rPr>
        <w:t>ostenibilità ha ricevuto una notevole accelerata</w:t>
      </w:r>
      <w:r w:rsidR="002344D9" w:rsidRPr="00E42CDF">
        <w:rPr>
          <w:rFonts w:asciiTheme="majorHAnsi" w:hAnsiTheme="majorHAnsi"/>
        </w:rPr>
        <w:t>:</w:t>
      </w:r>
      <w:r w:rsidRPr="00E42CDF">
        <w:rPr>
          <w:rFonts w:asciiTheme="majorHAnsi" w:hAnsiTheme="majorHAnsi"/>
        </w:rPr>
        <w:t xml:space="preserve"> grazie al confronto con la prima edizione del Report “C</w:t>
      </w:r>
      <w:r w:rsidR="00967EE0" w:rsidRPr="00E42CDF">
        <w:rPr>
          <w:rFonts w:asciiTheme="majorHAnsi" w:hAnsiTheme="majorHAnsi"/>
        </w:rPr>
        <w:t>.</w:t>
      </w:r>
      <w:r w:rsidRPr="00E42CDF">
        <w:rPr>
          <w:rFonts w:asciiTheme="majorHAnsi" w:hAnsiTheme="majorHAnsi"/>
        </w:rPr>
        <w:t>d</w:t>
      </w:r>
      <w:r w:rsidR="00967EE0" w:rsidRPr="00E42CDF">
        <w:rPr>
          <w:rFonts w:asciiTheme="majorHAnsi" w:hAnsiTheme="majorHAnsi"/>
        </w:rPr>
        <w:t>.</w:t>
      </w:r>
      <w:r w:rsidRPr="00E42CDF">
        <w:rPr>
          <w:rFonts w:asciiTheme="majorHAnsi" w:hAnsiTheme="majorHAnsi"/>
        </w:rPr>
        <w:t>A</w:t>
      </w:r>
      <w:r w:rsidR="00967EE0" w:rsidRPr="00E42CDF">
        <w:rPr>
          <w:rFonts w:asciiTheme="majorHAnsi" w:hAnsiTheme="majorHAnsi"/>
        </w:rPr>
        <w:t>.</w:t>
      </w:r>
      <w:r w:rsidRPr="00E42CDF">
        <w:rPr>
          <w:rFonts w:asciiTheme="majorHAnsi" w:hAnsiTheme="majorHAnsi"/>
        </w:rPr>
        <w:t xml:space="preserve"> e politiche di sostenibilità”, realizzato dal CSR Manager Network</w:t>
      </w:r>
      <w:r w:rsidR="0086237B" w:rsidRPr="00E42CDF">
        <w:rPr>
          <w:rFonts w:asciiTheme="majorHAnsi" w:hAnsiTheme="majorHAnsi"/>
        </w:rPr>
        <w:t>, Assonime</w:t>
      </w:r>
      <w:r w:rsidRPr="00E42CDF">
        <w:rPr>
          <w:rFonts w:asciiTheme="majorHAnsi" w:hAnsiTheme="majorHAnsi"/>
        </w:rPr>
        <w:t xml:space="preserve"> </w:t>
      </w:r>
      <w:r w:rsidR="003C181E" w:rsidRPr="00E42CDF">
        <w:rPr>
          <w:rFonts w:asciiTheme="majorHAnsi" w:hAnsiTheme="majorHAnsi"/>
        </w:rPr>
        <w:t xml:space="preserve"> e ALTIS </w:t>
      </w:r>
      <w:r w:rsidRPr="00E42CDF">
        <w:rPr>
          <w:rFonts w:asciiTheme="majorHAnsi" w:hAnsiTheme="majorHAnsi"/>
        </w:rPr>
        <w:t>tre anni fa, lo studio odierno traccia il percorso</w:t>
      </w:r>
      <w:r w:rsidR="002344D9" w:rsidRPr="00E42CDF">
        <w:rPr>
          <w:rFonts w:asciiTheme="majorHAnsi" w:hAnsiTheme="majorHAnsi"/>
        </w:rPr>
        <w:t xml:space="preserve"> </w:t>
      </w:r>
      <w:r w:rsidRPr="00E42CDF">
        <w:rPr>
          <w:rFonts w:asciiTheme="majorHAnsi" w:hAnsiTheme="majorHAnsi"/>
        </w:rPr>
        <w:t>delle imprese quotate italiane, e in particolare quelle appartenenti all’indice FTSE MIB, chiamate a adeguare la propria struttura di governance in un tempo relativamente ristretto.</w:t>
      </w:r>
    </w:p>
    <w:p w:rsidR="0093403F" w:rsidRPr="00E42CDF" w:rsidRDefault="0093403F" w:rsidP="0093403F">
      <w:pPr>
        <w:pStyle w:val="Titolo2"/>
        <w:spacing w:line="276" w:lineRule="auto"/>
        <w:rPr>
          <w:rFonts w:asciiTheme="minorHAnsi" w:hAnsiTheme="minorHAnsi" w:cstheme="minorHAnsi"/>
          <w:color w:val="auto"/>
        </w:rPr>
      </w:pPr>
      <w:bookmarkStart w:id="1" w:name="_Toc505259633"/>
      <w:r w:rsidRPr="00E42CDF">
        <w:rPr>
          <w:rFonts w:asciiTheme="minorHAnsi" w:hAnsiTheme="minorHAnsi" w:cstheme="minorHAnsi"/>
          <w:color w:val="auto"/>
        </w:rPr>
        <w:t>La Sostenibilità: un tema strategico</w:t>
      </w:r>
      <w:bookmarkEnd w:id="1"/>
      <w:r w:rsidRPr="00E42CDF">
        <w:rPr>
          <w:rFonts w:asciiTheme="minorHAnsi" w:hAnsiTheme="minorHAnsi" w:cstheme="minorHAnsi"/>
          <w:color w:val="auto"/>
        </w:rPr>
        <w:t xml:space="preserve"> </w:t>
      </w:r>
    </w:p>
    <w:p w:rsidR="0093403F" w:rsidRPr="00E42CDF" w:rsidRDefault="0093403F" w:rsidP="0093403F">
      <w:pPr>
        <w:pStyle w:val="Testo"/>
        <w:rPr>
          <w:rFonts w:cstheme="minorHAnsi"/>
          <w:sz w:val="22"/>
          <w:szCs w:val="22"/>
          <w:lang w:val="it-IT"/>
        </w:rPr>
      </w:pPr>
      <w:r w:rsidRPr="00E42CDF">
        <w:rPr>
          <w:rFonts w:cstheme="minorHAnsi"/>
          <w:sz w:val="22"/>
          <w:szCs w:val="22"/>
          <w:lang w:val="it-IT"/>
        </w:rPr>
        <w:t xml:space="preserve">L’integrazione della </w:t>
      </w:r>
      <w:r w:rsidR="00E36771" w:rsidRPr="00E42CDF">
        <w:rPr>
          <w:rFonts w:cstheme="minorHAnsi"/>
          <w:sz w:val="22"/>
          <w:szCs w:val="22"/>
          <w:lang w:val="it-IT"/>
        </w:rPr>
        <w:t>S</w:t>
      </w:r>
      <w:r w:rsidRPr="00E42CDF">
        <w:rPr>
          <w:rFonts w:cstheme="minorHAnsi"/>
          <w:sz w:val="22"/>
          <w:szCs w:val="22"/>
          <w:lang w:val="it-IT"/>
        </w:rPr>
        <w:t>ostenibilità nella governance è confermata dalla constatazione che</w:t>
      </w:r>
      <w:r w:rsidRPr="00E42CDF">
        <w:rPr>
          <w:rFonts w:cstheme="minorHAnsi"/>
          <w:b/>
          <w:sz w:val="22"/>
          <w:szCs w:val="22"/>
          <w:lang w:val="it-IT"/>
        </w:rPr>
        <w:t xml:space="preserve"> gli obiettivi legati alla sostenibilità </w:t>
      </w:r>
      <w:r w:rsidR="00E36771" w:rsidRPr="00E42CDF">
        <w:rPr>
          <w:rFonts w:cstheme="minorHAnsi"/>
          <w:b/>
          <w:sz w:val="22"/>
          <w:szCs w:val="22"/>
          <w:lang w:val="it-IT"/>
        </w:rPr>
        <w:t>fanno</w:t>
      </w:r>
      <w:r w:rsidRPr="00E42CDF">
        <w:rPr>
          <w:rFonts w:cstheme="minorHAnsi"/>
          <w:b/>
          <w:sz w:val="22"/>
          <w:szCs w:val="22"/>
          <w:lang w:val="it-IT"/>
        </w:rPr>
        <w:t xml:space="preserve"> ormai parte degli obiettivi strategici </w:t>
      </w:r>
      <w:r w:rsidRPr="00E42CDF">
        <w:rPr>
          <w:rFonts w:cstheme="minorHAnsi"/>
          <w:sz w:val="22"/>
          <w:szCs w:val="22"/>
          <w:lang w:val="it-IT"/>
        </w:rPr>
        <w:t>delle principali imprese quotate italiane, come dimostrano alcuni dati:</w:t>
      </w:r>
    </w:p>
    <w:p w:rsidR="0093403F" w:rsidRPr="00E42CDF" w:rsidRDefault="0093403F" w:rsidP="0093403F">
      <w:pPr>
        <w:pStyle w:val="ElencoPuntatoTabella"/>
        <w:spacing w:before="0" w:line="276" w:lineRule="auto"/>
        <w:ind w:left="357" w:hanging="357"/>
        <w:rPr>
          <w:rFonts w:asciiTheme="minorHAnsi" w:hAnsiTheme="minorHAnsi" w:cstheme="minorHAnsi"/>
          <w:sz w:val="22"/>
          <w:szCs w:val="22"/>
        </w:rPr>
      </w:pPr>
      <w:proofErr w:type="gramStart"/>
      <w:r w:rsidRPr="00E42CDF">
        <w:rPr>
          <w:rFonts w:asciiTheme="minorHAnsi" w:hAnsiTheme="minorHAnsi" w:cstheme="minorHAnsi"/>
          <w:sz w:val="22"/>
          <w:szCs w:val="22"/>
        </w:rPr>
        <w:t>oltre</w:t>
      </w:r>
      <w:proofErr w:type="gramEnd"/>
      <w:r w:rsidRPr="00E42CDF">
        <w:rPr>
          <w:rFonts w:asciiTheme="minorHAnsi" w:hAnsiTheme="minorHAnsi" w:cstheme="minorHAnsi"/>
          <w:sz w:val="22"/>
          <w:szCs w:val="22"/>
        </w:rPr>
        <w:t xml:space="preserve"> il 70% delle imprese del FTSE MIB ha inserito nel proprio piano strategico obiettivi socio-ambientali (in aumento rispetto al 40% riscontrato nel 2013)</w:t>
      </w:r>
    </w:p>
    <w:p w:rsidR="0093403F" w:rsidRPr="00E42CDF" w:rsidRDefault="0093403F" w:rsidP="0093403F">
      <w:pPr>
        <w:pStyle w:val="ElencoPuntatoTabella"/>
        <w:spacing w:line="276" w:lineRule="auto"/>
        <w:rPr>
          <w:rFonts w:asciiTheme="minorHAnsi" w:hAnsiTheme="minorHAnsi" w:cstheme="minorHAnsi"/>
          <w:sz w:val="22"/>
          <w:szCs w:val="22"/>
        </w:rPr>
      </w:pPr>
      <w:proofErr w:type="gramStart"/>
      <w:r w:rsidRPr="00E42CDF">
        <w:rPr>
          <w:rFonts w:asciiTheme="minorHAnsi" w:hAnsiTheme="minorHAnsi" w:cstheme="minorHAnsi"/>
          <w:sz w:val="22"/>
          <w:szCs w:val="22"/>
        </w:rPr>
        <w:t>la</w:t>
      </w:r>
      <w:proofErr w:type="gramEnd"/>
      <w:r w:rsidRPr="00E42CDF">
        <w:rPr>
          <w:rFonts w:asciiTheme="minorHAnsi" w:hAnsiTheme="minorHAnsi" w:cstheme="minorHAnsi"/>
          <w:sz w:val="22"/>
          <w:szCs w:val="22"/>
        </w:rPr>
        <w:t xml:space="preserve"> percentuale di imprese FTSE MIB che ha individuato una forma di gestione delle tematiche socio-ambientali all’inter</w:t>
      </w:r>
      <w:r w:rsidR="00967EE0" w:rsidRPr="00E42CDF">
        <w:rPr>
          <w:rFonts w:asciiTheme="minorHAnsi" w:hAnsiTheme="minorHAnsi" w:cstheme="minorHAnsi"/>
          <w:sz w:val="22"/>
          <w:szCs w:val="22"/>
        </w:rPr>
        <w:t>no del C.d.A. è balzata dal 32</w:t>
      </w:r>
      <w:r w:rsidRPr="00E42CDF">
        <w:rPr>
          <w:rFonts w:asciiTheme="minorHAnsi" w:hAnsiTheme="minorHAnsi" w:cstheme="minorHAnsi"/>
          <w:sz w:val="22"/>
          <w:szCs w:val="22"/>
        </w:rPr>
        <w:t>%</w:t>
      </w:r>
      <w:r w:rsidR="00967EE0" w:rsidRPr="00E42CDF">
        <w:rPr>
          <w:rFonts w:asciiTheme="minorHAnsi" w:hAnsiTheme="minorHAnsi" w:cstheme="minorHAnsi"/>
          <w:sz w:val="22"/>
          <w:szCs w:val="22"/>
        </w:rPr>
        <w:t xml:space="preserve"> al 74</w:t>
      </w:r>
      <w:r w:rsidR="008A6FD8" w:rsidRPr="00E42CDF">
        <w:rPr>
          <w:rFonts w:asciiTheme="minorHAnsi" w:hAnsiTheme="minorHAnsi" w:cstheme="minorHAnsi"/>
          <w:sz w:val="22"/>
          <w:szCs w:val="22"/>
        </w:rPr>
        <w:t>%</w:t>
      </w:r>
    </w:p>
    <w:p w:rsidR="0093403F" w:rsidRPr="00E42CDF" w:rsidRDefault="0093403F" w:rsidP="0093403F">
      <w:pPr>
        <w:pStyle w:val="ElencoPuntatoTabella"/>
        <w:rPr>
          <w:rFonts w:asciiTheme="minorHAnsi" w:hAnsiTheme="minorHAnsi" w:cstheme="minorHAnsi"/>
          <w:sz w:val="22"/>
          <w:szCs w:val="22"/>
        </w:rPr>
      </w:pPr>
      <w:bookmarkStart w:id="2" w:name="_Hlk505256230"/>
      <w:proofErr w:type="gramStart"/>
      <w:r w:rsidRPr="00E42CDF">
        <w:rPr>
          <w:rFonts w:asciiTheme="minorHAnsi" w:hAnsiTheme="minorHAnsi" w:cstheme="minorHAnsi"/>
          <w:sz w:val="22"/>
          <w:szCs w:val="22"/>
        </w:rPr>
        <w:t>la</w:t>
      </w:r>
      <w:proofErr w:type="gramEnd"/>
      <w:r w:rsidRPr="00E42CDF">
        <w:rPr>
          <w:rFonts w:asciiTheme="minorHAnsi" w:hAnsiTheme="minorHAnsi" w:cstheme="minorHAnsi"/>
          <w:sz w:val="22"/>
          <w:szCs w:val="22"/>
        </w:rPr>
        <w:t xml:space="preserve"> maggiora</w:t>
      </w:r>
      <w:r w:rsidR="00967EE0" w:rsidRPr="00E42CDF">
        <w:rPr>
          <w:rFonts w:asciiTheme="minorHAnsi" w:hAnsiTheme="minorHAnsi" w:cstheme="minorHAnsi"/>
          <w:sz w:val="22"/>
          <w:szCs w:val="22"/>
        </w:rPr>
        <w:t>nza delle imprese FTSE MIB (56</w:t>
      </w:r>
      <w:r w:rsidRPr="00E42CDF">
        <w:rPr>
          <w:rFonts w:asciiTheme="minorHAnsi" w:hAnsiTheme="minorHAnsi" w:cstheme="minorHAnsi"/>
          <w:sz w:val="22"/>
          <w:szCs w:val="22"/>
        </w:rPr>
        <w:t xml:space="preserve">%) ha scelto di affidare la gestione della </w:t>
      </w:r>
      <w:r w:rsidR="00AC3404" w:rsidRPr="00E42CDF">
        <w:rPr>
          <w:rFonts w:asciiTheme="minorHAnsi" w:hAnsiTheme="minorHAnsi" w:cstheme="minorHAnsi"/>
          <w:sz w:val="22"/>
          <w:szCs w:val="22"/>
        </w:rPr>
        <w:t>s</w:t>
      </w:r>
      <w:r w:rsidRPr="00E42CDF">
        <w:rPr>
          <w:rFonts w:asciiTheme="minorHAnsi" w:hAnsiTheme="minorHAnsi" w:cstheme="minorHAnsi"/>
          <w:sz w:val="22"/>
          <w:szCs w:val="22"/>
        </w:rPr>
        <w:t>ostenibilità ad un Comitato apposito, il cui nome il più delle volte include il esplicitamente il termine “Sostenibilità”.</w:t>
      </w:r>
      <w:bookmarkEnd w:id="2"/>
    </w:p>
    <w:p w:rsidR="0093403F" w:rsidRPr="00E42CDF" w:rsidRDefault="0093403F" w:rsidP="00E91941">
      <w:pPr>
        <w:pStyle w:val="ElencoPuntatoTabella"/>
        <w:numPr>
          <w:ilvl w:val="0"/>
          <w:numId w:val="0"/>
        </w:numPr>
        <w:spacing w:before="0" w:line="276" w:lineRule="auto"/>
        <w:rPr>
          <w:rFonts w:asciiTheme="minorHAnsi" w:hAnsiTheme="minorHAnsi" w:cstheme="minorHAnsi"/>
          <w:sz w:val="22"/>
          <w:szCs w:val="22"/>
        </w:rPr>
      </w:pPr>
    </w:p>
    <w:p w:rsidR="00E91941" w:rsidRPr="00E42CDF" w:rsidRDefault="00D1686D" w:rsidP="00E91941">
      <w:pPr>
        <w:pStyle w:val="ElencoPuntatoTabella"/>
        <w:numPr>
          <w:ilvl w:val="0"/>
          <w:numId w:val="0"/>
        </w:numPr>
        <w:spacing w:before="0" w:line="276" w:lineRule="auto"/>
        <w:rPr>
          <w:rFonts w:asciiTheme="minorHAnsi" w:hAnsiTheme="minorHAnsi" w:cstheme="minorHAnsi"/>
          <w:sz w:val="22"/>
          <w:szCs w:val="22"/>
        </w:rPr>
      </w:pPr>
      <w:r w:rsidRPr="00E42CDF">
        <w:rPr>
          <w:rFonts w:asciiTheme="minorHAnsi" w:hAnsiTheme="minorHAnsi" w:cstheme="minorHAnsi"/>
          <w:sz w:val="22"/>
          <w:szCs w:val="22"/>
        </w:rPr>
        <w:t xml:space="preserve">Il Gruppo di ricerca, costituito dai ricercatori di ALTIS e da rappresentanti del CSR Manager Network e di Assonime ha evidenziato come </w:t>
      </w:r>
      <w:r w:rsidR="00E91941" w:rsidRPr="00E42CDF">
        <w:rPr>
          <w:rFonts w:asciiTheme="minorHAnsi" w:hAnsiTheme="minorHAnsi" w:cstheme="minorHAnsi"/>
          <w:b/>
          <w:sz w:val="22"/>
          <w:szCs w:val="22"/>
        </w:rPr>
        <w:t>la governance del</w:t>
      </w:r>
      <w:r w:rsidRPr="00E42CDF">
        <w:rPr>
          <w:rFonts w:asciiTheme="minorHAnsi" w:hAnsiTheme="minorHAnsi" w:cstheme="minorHAnsi"/>
          <w:b/>
          <w:sz w:val="22"/>
          <w:szCs w:val="22"/>
        </w:rPr>
        <w:t>le imprese quotate italiane si sia</w:t>
      </w:r>
      <w:r w:rsidR="00E91941" w:rsidRPr="00E42CDF">
        <w:rPr>
          <w:rFonts w:asciiTheme="minorHAnsi" w:hAnsiTheme="minorHAnsi" w:cstheme="minorHAnsi"/>
          <w:b/>
          <w:sz w:val="22"/>
          <w:szCs w:val="22"/>
        </w:rPr>
        <w:t xml:space="preserve"> evol</w:t>
      </w:r>
      <w:r w:rsidR="00AC3404" w:rsidRPr="00E42CDF">
        <w:rPr>
          <w:rFonts w:asciiTheme="minorHAnsi" w:hAnsiTheme="minorHAnsi" w:cstheme="minorHAnsi"/>
          <w:b/>
          <w:sz w:val="22"/>
          <w:szCs w:val="22"/>
        </w:rPr>
        <w:t>uta integrando le tematiche di s</w:t>
      </w:r>
      <w:r w:rsidR="00E91941" w:rsidRPr="00E42CDF">
        <w:rPr>
          <w:rFonts w:asciiTheme="minorHAnsi" w:hAnsiTheme="minorHAnsi" w:cstheme="minorHAnsi"/>
          <w:b/>
          <w:sz w:val="22"/>
          <w:szCs w:val="22"/>
        </w:rPr>
        <w:t>ostenibilità</w:t>
      </w:r>
      <w:r w:rsidR="00FC062C" w:rsidRPr="00E42CDF">
        <w:rPr>
          <w:rFonts w:asciiTheme="minorHAnsi" w:hAnsiTheme="minorHAnsi" w:cstheme="minorHAnsi"/>
          <w:b/>
          <w:sz w:val="22"/>
          <w:szCs w:val="22"/>
        </w:rPr>
        <w:t>:</w:t>
      </w:r>
    </w:p>
    <w:p w:rsidR="00E91941" w:rsidRPr="00E42CDF" w:rsidRDefault="00E91941" w:rsidP="00E91941">
      <w:pPr>
        <w:pStyle w:val="ElencoPuntatoTabella"/>
        <w:spacing w:line="276" w:lineRule="auto"/>
        <w:rPr>
          <w:rFonts w:asciiTheme="majorHAnsi" w:hAnsiTheme="majorHAnsi"/>
          <w:sz w:val="22"/>
          <w:szCs w:val="22"/>
        </w:rPr>
      </w:pPr>
      <w:proofErr w:type="gramStart"/>
      <w:r w:rsidRPr="00E42CDF">
        <w:rPr>
          <w:rFonts w:asciiTheme="majorHAnsi" w:hAnsiTheme="majorHAnsi"/>
          <w:sz w:val="22"/>
          <w:szCs w:val="22"/>
        </w:rPr>
        <w:t>più</w:t>
      </w:r>
      <w:proofErr w:type="gramEnd"/>
      <w:r w:rsidRPr="00E42CDF">
        <w:rPr>
          <w:rFonts w:asciiTheme="majorHAnsi" w:hAnsiTheme="majorHAnsi"/>
          <w:sz w:val="22"/>
          <w:szCs w:val="22"/>
        </w:rPr>
        <w:t xml:space="preserve"> della metà delle imprese del FTSE MIB ha modificato la propria struttura di governa</w:t>
      </w:r>
      <w:r w:rsidR="00AC3404" w:rsidRPr="00E42CDF">
        <w:rPr>
          <w:rFonts w:asciiTheme="majorHAnsi" w:hAnsiTheme="majorHAnsi"/>
          <w:sz w:val="22"/>
          <w:szCs w:val="22"/>
        </w:rPr>
        <w:t>nce della s</w:t>
      </w:r>
      <w:r w:rsidR="00FC062C" w:rsidRPr="00E42CDF">
        <w:rPr>
          <w:rFonts w:asciiTheme="majorHAnsi" w:hAnsiTheme="majorHAnsi"/>
          <w:sz w:val="22"/>
          <w:szCs w:val="22"/>
        </w:rPr>
        <w:t>ostenibilità (</w:t>
      </w:r>
      <w:r w:rsidR="00967EE0" w:rsidRPr="00E42CDF">
        <w:rPr>
          <w:rFonts w:asciiTheme="majorHAnsi" w:hAnsiTheme="majorHAnsi"/>
          <w:sz w:val="22"/>
          <w:szCs w:val="22"/>
        </w:rPr>
        <w:t>52</w:t>
      </w:r>
      <w:r w:rsidR="00FC062C" w:rsidRPr="00E42CDF">
        <w:rPr>
          <w:rFonts w:asciiTheme="majorHAnsi" w:hAnsiTheme="majorHAnsi"/>
          <w:sz w:val="22"/>
          <w:szCs w:val="22"/>
        </w:rPr>
        <w:t>%)</w:t>
      </w:r>
    </w:p>
    <w:p w:rsidR="00E91941" w:rsidRPr="00E42CDF" w:rsidRDefault="00E91941" w:rsidP="00E91941">
      <w:pPr>
        <w:pStyle w:val="ElencoPuntatoTabella"/>
        <w:spacing w:line="276" w:lineRule="auto"/>
        <w:rPr>
          <w:rFonts w:asciiTheme="majorHAnsi" w:hAnsiTheme="majorHAnsi"/>
          <w:sz w:val="22"/>
          <w:szCs w:val="22"/>
        </w:rPr>
      </w:pPr>
      <w:proofErr w:type="gramStart"/>
      <w:r w:rsidRPr="00E42CDF">
        <w:rPr>
          <w:rFonts w:asciiTheme="majorHAnsi" w:hAnsiTheme="majorHAnsi"/>
          <w:sz w:val="22"/>
          <w:szCs w:val="22"/>
        </w:rPr>
        <w:t>tra</w:t>
      </w:r>
      <w:proofErr w:type="gramEnd"/>
      <w:r w:rsidRPr="00E42CDF">
        <w:rPr>
          <w:rFonts w:asciiTheme="majorHAnsi" w:hAnsiTheme="majorHAnsi"/>
          <w:sz w:val="22"/>
          <w:szCs w:val="22"/>
        </w:rPr>
        <w:t xml:space="preserve"> le quotate FTSE MIB il cambiamento è stato realizzato in poc</w:t>
      </w:r>
      <w:r w:rsidR="00967EE0" w:rsidRPr="00E42CDF">
        <w:rPr>
          <w:rFonts w:asciiTheme="majorHAnsi" w:hAnsiTheme="majorHAnsi"/>
          <w:sz w:val="22"/>
          <w:szCs w:val="22"/>
        </w:rPr>
        <w:t>o più della metà dei casi (52</w:t>
      </w:r>
      <w:r w:rsidRPr="00E42CDF">
        <w:rPr>
          <w:rFonts w:asciiTheme="majorHAnsi" w:hAnsiTheme="majorHAnsi"/>
          <w:sz w:val="22"/>
          <w:szCs w:val="22"/>
        </w:rPr>
        <w:t>%) in modo graduale, senza stravolgere la str</w:t>
      </w:r>
      <w:r w:rsidR="00E36771" w:rsidRPr="00E42CDF">
        <w:rPr>
          <w:rFonts w:asciiTheme="majorHAnsi" w:hAnsiTheme="majorHAnsi"/>
          <w:sz w:val="22"/>
          <w:szCs w:val="22"/>
        </w:rPr>
        <w:t>uttura di governance esistente.</w:t>
      </w:r>
    </w:p>
    <w:p w:rsidR="00337A0A" w:rsidRPr="00E42CDF" w:rsidRDefault="00337A0A" w:rsidP="00337A0A">
      <w:pPr>
        <w:pStyle w:val="ElencoPuntatoTabella"/>
        <w:numPr>
          <w:ilvl w:val="0"/>
          <w:numId w:val="0"/>
        </w:numPr>
        <w:spacing w:line="276" w:lineRule="auto"/>
        <w:rPr>
          <w:rFonts w:asciiTheme="majorHAnsi" w:hAnsiTheme="majorHAnsi"/>
          <w:sz w:val="22"/>
          <w:szCs w:val="22"/>
        </w:rPr>
      </w:pPr>
    </w:p>
    <w:p w:rsidR="00967EE0" w:rsidRDefault="00967EE0" w:rsidP="00337A0A">
      <w:pPr>
        <w:pStyle w:val="ElencoPuntatoTabella"/>
        <w:numPr>
          <w:ilvl w:val="0"/>
          <w:numId w:val="0"/>
        </w:numPr>
        <w:spacing w:line="276" w:lineRule="auto"/>
        <w:rPr>
          <w:rFonts w:asciiTheme="majorHAnsi" w:hAnsiTheme="majorHAnsi"/>
          <w:color w:val="FF0000"/>
          <w:sz w:val="22"/>
          <w:szCs w:val="22"/>
        </w:rPr>
      </w:pPr>
    </w:p>
    <w:p w:rsidR="0006394C" w:rsidRPr="00E42CDF" w:rsidRDefault="0006394C" w:rsidP="00337A0A">
      <w:pPr>
        <w:pStyle w:val="ElencoPuntatoTabella"/>
        <w:numPr>
          <w:ilvl w:val="0"/>
          <w:numId w:val="0"/>
        </w:numPr>
        <w:spacing w:line="276" w:lineRule="auto"/>
        <w:rPr>
          <w:rFonts w:asciiTheme="majorHAnsi" w:hAnsiTheme="majorHAnsi"/>
          <w:color w:val="FF0000"/>
          <w:sz w:val="22"/>
          <w:szCs w:val="22"/>
        </w:rPr>
      </w:pPr>
    </w:p>
    <w:p w:rsidR="00337A0A" w:rsidRPr="00E42CDF" w:rsidRDefault="00337A0A" w:rsidP="00337A0A">
      <w:pPr>
        <w:pStyle w:val="ElencoPuntatoTabella"/>
        <w:numPr>
          <w:ilvl w:val="0"/>
          <w:numId w:val="0"/>
        </w:numPr>
        <w:spacing w:line="276" w:lineRule="auto"/>
        <w:rPr>
          <w:rFonts w:asciiTheme="majorHAnsi" w:hAnsiTheme="majorHAnsi"/>
          <w:sz w:val="22"/>
          <w:szCs w:val="22"/>
        </w:rPr>
      </w:pPr>
      <w:r w:rsidRPr="00E42CDF">
        <w:rPr>
          <w:rFonts w:asciiTheme="majorHAnsi" w:hAnsiTheme="majorHAnsi"/>
          <w:sz w:val="22"/>
          <w:szCs w:val="22"/>
        </w:rPr>
        <w:t xml:space="preserve">Appare </w:t>
      </w:r>
      <w:r w:rsidR="00967EE0" w:rsidRPr="00E42CDF">
        <w:rPr>
          <w:rFonts w:asciiTheme="majorHAnsi" w:hAnsiTheme="majorHAnsi"/>
          <w:sz w:val="22"/>
          <w:szCs w:val="22"/>
        </w:rPr>
        <w:t xml:space="preserve">dunque </w:t>
      </w:r>
      <w:r w:rsidRPr="00E42CDF">
        <w:rPr>
          <w:rFonts w:asciiTheme="majorHAnsi" w:hAnsiTheme="majorHAnsi"/>
          <w:sz w:val="22"/>
          <w:szCs w:val="22"/>
        </w:rPr>
        <w:t xml:space="preserve">evidente il </w:t>
      </w:r>
      <w:r w:rsidRPr="00E42CDF">
        <w:rPr>
          <w:rFonts w:asciiTheme="majorHAnsi" w:hAnsiTheme="majorHAnsi"/>
          <w:b/>
          <w:sz w:val="22"/>
          <w:szCs w:val="22"/>
        </w:rPr>
        <w:t>ruolo svolto dalle modifiche del Codice di Autodisciplina nel 2015</w:t>
      </w:r>
      <w:r w:rsidRPr="00E42CDF">
        <w:rPr>
          <w:rFonts w:asciiTheme="majorHAnsi" w:hAnsiTheme="majorHAnsi"/>
          <w:sz w:val="22"/>
          <w:szCs w:val="22"/>
        </w:rPr>
        <w:t>: la maggior parte dei Comitati sono stati istituiti tra quella data e la fine del 2016, come indicato proprio dal Codice.</w:t>
      </w:r>
    </w:p>
    <w:p w:rsidR="00E91941" w:rsidRPr="00E42CDF" w:rsidRDefault="00E91941" w:rsidP="00E91941">
      <w:pPr>
        <w:pStyle w:val="ElencoPuntatoTabella"/>
        <w:numPr>
          <w:ilvl w:val="0"/>
          <w:numId w:val="0"/>
        </w:numPr>
        <w:rPr>
          <w:sz w:val="22"/>
          <w:szCs w:val="22"/>
        </w:rPr>
      </w:pPr>
      <w:bookmarkStart w:id="3" w:name="_Toc505259631"/>
    </w:p>
    <w:p w:rsidR="0093403F" w:rsidRPr="00E42CDF" w:rsidRDefault="0093403F" w:rsidP="0093403F">
      <w:pPr>
        <w:pStyle w:val="ElencoPuntatoTabella"/>
        <w:numPr>
          <w:ilvl w:val="0"/>
          <w:numId w:val="0"/>
        </w:numPr>
        <w:spacing w:before="0" w:line="276" w:lineRule="auto"/>
        <w:rPr>
          <w:rFonts w:asciiTheme="majorHAnsi" w:hAnsiTheme="majorHAnsi"/>
          <w:sz w:val="22"/>
          <w:szCs w:val="22"/>
        </w:rPr>
      </w:pPr>
      <w:r w:rsidRPr="00E42CDF">
        <w:rPr>
          <w:rFonts w:asciiTheme="majorHAnsi" w:hAnsiTheme="majorHAnsi"/>
          <w:b/>
          <w:sz w:val="22"/>
          <w:szCs w:val="22"/>
        </w:rPr>
        <w:t>Il maggior coinvolgimento del C.d.A</w:t>
      </w:r>
      <w:r w:rsidRPr="00E42CDF">
        <w:rPr>
          <w:rFonts w:asciiTheme="majorHAnsi" w:hAnsiTheme="majorHAnsi"/>
          <w:sz w:val="22"/>
          <w:szCs w:val="22"/>
        </w:rPr>
        <w:t xml:space="preserve">. </w:t>
      </w:r>
      <w:r w:rsidRPr="00E42CDF">
        <w:rPr>
          <w:rFonts w:asciiTheme="majorHAnsi" w:hAnsiTheme="majorHAnsi"/>
          <w:b/>
          <w:sz w:val="22"/>
          <w:szCs w:val="22"/>
        </w:rPr>
        <w:t>nella gestione della Sostenibilità ha un riscontro anche nella sua configurazione</w:t>
      </w:r>
      <w:r w:rsidRPr="00E42CDF">
        <w:rPr>
          <w:rFonts w:asciiTheme="majorHAnsi" w:hAnsiTheme="majorHAnsi"/>
          <w:sz w:val="22"/>
          <w:szCs w:val="22"/>
        </w:rPr>
        <w:t xml:space="preserve">: </w:t>
      </w:r>
    </w:p>
    <w:p w:rsidR="00FC062C" w:rsidRPr="00E42CDF" w:rsidRDefault="00FC062C" w:rsidP="00FC062C">
      <w:pPr>
        <w:pStyle w:val="ElencoPuntatoTabella"/>
        <w:spacing w:line="276" w:lineRule="auto"/>
        <w:rPr>
          <w:rFonts w:asciiTheme="majorHAnsi" w:hAnsiTheme="majorHAnsi"/>
          <w:sz w:val="22"/>
          <w:szCs w:val="22"/>
        </w:rPr>
      </w:pPr>
      <w:proofErr w:type="gramStart"/>
      <w:r w:rsidRPr="00E42CDF">
        <w:rPr>
          <w:rFonts w:asciiTheme="majorHAnsi" w:hAnsiTheme="majorHAnsi"/>
          <w:sz w:val="22"/>
          <w:szCs w:val="22"/>
        </w:rPr>
        <w:t>è</w:t>
      </w:r>
      <w:proofErr w:type="gramEnd"/>
      <w:r w:rsidRPr="00E42CDF">
        <w:rPr>
          <w:rFonts w:asciiTheme="majorHAnsi" w:hAnsiTheme="majorHAnsi"/>
          <w:sz w:val="22"/>
          <w:szCs w:val="22"/>
        </w:rPr>
        <w:t xml:space="preserve"> salita </w:t>
      </w:r>
      <w:r w:rsidR="00967EE0" w:rsidRPr="00E42CDF">
        <w:rPr>
          <w:rFonts w:asciiTheme="majorHAnsi" w:hAnsiTheme="majorHAnsi"/>
          <w:sz w:val="22"/>
          <w:szCs w:val="22"/>
        </w:rPr>
        <w:t>dal 25% al 43</w:t>
      </w:r>
      <w:r w:rsidRPr="00E42CDF">
        <w:rPr>
          <w:rFonts w:asciiTheme="majorHAnsi" w:hAnsiTheme="majorHAnsi"/>
          <w:sz w:val="22"/>
          <w:szCs w:val="22"/>
        </w:rPr>
        <w:t>% la quota di imprese che hanno adottato pratiche per agganciare parte del compenso dei consiglieri esecutivi alle performance socio-ambientali dell’impresa, misurate in base a parametri quantitativi e spesso comunicate all’esterno.</w:t>
      </w:r>
    </w:p>
    <w:p w:rsidR="0093403F" w:rsidRPr="00E42CDF" w:rsidRDefault="00967EE0" w:rsidP="009F7FBF">
      <w:pPr>
        <w:pStyle w:val="ElencoPuntatoTabella"/>
        <w:spacing w:line="276" w:lineRule="auto"/>
        <w:rPr>
          <w:rFonts w:asciiTheme="majorHAnsi" w:hAnsiTheme="majorHAnsi"/>
          <w:sz w:val="22"/>
          <w:szCs w:val="22"/>
        </w:rPr>
      </w:pPr>
      <w:proofErr w:type="gramStart"/>
      <w:r w:rsidRPr="00E42CDF">
        <w:rPr>
          <w:rFonts w:asciiTheme="majorHAnsi" w:hAnsiTheme="majorHAnsi"/>
          <w:sz w:val="22"/>
          <w:szCs w:val="22"/>
        </w:rPr>
        <w:t>il</w:t>
      </w:r>
      <w:proofErr w:type="gramEnd"/>
      <w:r w:rsidRPr="00E42CDF">
        <w:rPr>
          <w:rFonts w:asciiTheme="majorHAnsi" w:hAnsiTheme="majorHAnsi"/>
          <w:sz w:val="22"/>
          <w:szCs w:val="22"/>
        </w:rPr>
        <w:t xml:space="preserve"> 65</w:t>
      </w:r>
      <w:r w:rsidR="0093403F" w:rsidRPr="00E42CDF">
        <w:rPr>
          <w:rFonts w:asciiTheme="majorHAnsi" w:hAnsiTheme="majorHAnsi"/>
          <w:sz w:val="22"/>
          <w:szCs w:val="22"/>
        </w:rPr>
        <w:t>% dei C.d.A. considera importante la presenza di competenze socio-ambientali in Consiglio</w:t>
      </w:r>
      <w:r w:rsidR="00FC062C" w:rsidRPr="00E42CDF">
        <w:rPr>
          <w:rFonts w:asciiTheme="majorHAnsi" w:hAnsiTheme="majorHAnsi"/>
          <w:sz w:val="22"/>
          <w:szCs w:val="22"/>
        </w:rPr>
        <w:t>, in aumento rispetto al 2013, tanto che 4</w:t>
      </w:r>
      <w:r w:rsidR="0093403F" w:rsidRPr="00E42CDF">
        <w:rPr>
          <w:rFonts w:asciiTheme="majorHAnsi" w:hAnsiTheme="majorHAnsi"/>
          <w:sz w:val="22"/>
          <w:szCs w:val="22"/>
        </w:rPr>
        <w:t xml:space="preserve"> C.d.A. su </w:t>
      </w:r>
      <w:r w:rsidR="00FC062C" w:rsidRPr="00E42CDF">
        <w:rPr>
          <w:rFonts w:asciiTheme="majorHAnsi" w:hAnsiTheme="majorHAnsi"/>
          <w:sz w:val="22"/>
          <w:szCs w:val="22"/>
        </w:rPr>
        <w:t>5</w:t>
      </w:r>
      <w:r w:rsidR="0093403F" w:rsidRPr="00E42CDF">
        <w:rPr>
          <w:rFonts w:asciiTheme="majorHAnsi" w:hAnsiTheme="majorHAnsi"/>
          <w:sz w:val="22"/>
          <w:szCs w:val="22"/>
        </w:rPr>
        <w:t xml:space="preserve"> presentano membri con </w:t>
      </w:r>
      <w:r w:rsidR="0093403F" w:rsidRPr="00E42CDF">
        <w:rPr>
          <w:rFonts w:asciiTheme="majorHAnsi" w:hAnsiTheme="majorHAnsi"/>
          <w:noProof/>
          <w:sz w:val="22"/>
          <w:szCs w:val="22"/>
        </w:rPr>
        <w:t>competenze/esperienze su temi di sostenibilità;</w:t>
      </w:r>
    </w:p>
    <w:p w:rsidR="00E36771" w:rsidRPr="00E42CDF" w:rsidRDefault="0093403F" w:rsidP="00B06FF1">
      <w:pPr>
        <w:pStyle w:val="ElencoPuntatoTabella"/>
        <w:spacing w:line="276" w:lineRule="auto"/>
        <w:rPr>
          <w:rFonts w:asciiTheme="majorHAnsi" w:hAnsiTheme="majorHAnsi"/>
          <w:sz w:val="22"/>
          <w:szCs w:val="22"/>
        </w:rPr>
      </w:pPr>
      <w:proofErr w:type="gramStart"/>
      <w:r w:rsidRPr="00E42CDF">
        <w:rPr>
          <w:rFonts w:asciiTheme="majorHAnsi" w:hAnsiTheme="majorHAnsi"/>
          <w:sz w:val="22"/>
          <w:szCs w:val="22"/>
        </w:rPr>
        <w:t>il</w:t>
      </w:r>
      <w:proofErr w:type="gramEnd"/>
      <w:r w:rsidR="00967EE0" w:rsidRPr="00E42CDF">
        <w:rPr>
          <w:rFonts w:asciiTheme="majorHAnsi" w:hAnsiTheme="majorHAnsi"/>
          <w:sz w:val="22"/>
          <w:szCs w:val="22"/>
        </w:rPr>
        <w:t xml:space="preserve"> 43</w:t>
      </w:r>
      <w:r w:rsidRPr="00E42CDF">
        <w:rPr>
          <w:rFonts w:asciiTheme="majorHAnsi" w:hAnsiTheme="majorHAnsi"/>
          <w:sz w:val="22"/>
          <w:szCs w:val="22"/>
        </w:rPr>
        <w:t>% dei C.d.A. ha partecipato a specifici programmi di induction dedicati ai temi di Sostenibilità</w:t>
      </w:r>
      <w:r w:rsidR="00EE6872" w:rsidRPr="00E42CDF">
        <w:rPr>
          <w:rFonts w:asciiTheme="majorHAnsi" w:hAnsiTheme="majorHAnsi"/>
          <w:sz w:val="22"/>
          <w:szCs w:val="22"/>
        </w:rPr>
        <w:t xml:space="preserve"> nel corso del proprio mandato</w:t>
      </w:r>
      <w:r w:rsidRPr="00E42CDF">
        <w:rPr>
          <w:rFonts w:asciiTheme="majorHAnsi" w:hAnsiTheme="majorHAnsi"/>
          <w:sz w:val="22"/>
          <w:szCs w:val="22"/>
        </w:rPr>
        <w:t>, tenuti solitamente</w:t>
      </w:r>
      <w:r w:rsidR="00FC062C" w:rsidRPr="00E42CDF">
        <w:rPr>
          <w:rFonts w:asciiTheme="majorHAnsi" w:hAnsiTheme="majorHAnsi"/>
          <w:sz w:val="22"/>
          <w:szCs w:val="22"/>
        </w:rPr>
        <w:t xml:space="preserve"> da esperti interni all’azienda</w:t>
      </w:r>
    </w:p>
    <w:p w:rsidR="00B06FF1" w:rsidRPr="00E42CDF" w:rsidRDefault="00B06FF1" w:rsidP="00E36771">
      <w:pPr>
        <w:pStyle w:val="ElencoPuntatoTabella"/>
        <w:numPr>
          <w:ilvl w:val="0"/>
          <w:numId w:val="0"/>
        </w:numPr>
        <w:spacing w:line="276" w:lineRule="auto"/>
        <w:rPr>
          <w:rFonts w:asciiTheme="majorHAnsi" w:hAnsiTheme="majorHAnsi"/>
          <w:sz w:val="22"/>
        </w:rPr>
      </w:pPr>
      <w:r w:rsidRPr="00E42CDF">
        <w:rPr>
          <w:rFonts w:asciiTheme="majorHAnsi" w:hAnsiTheme="majorHAnsi"/>
          <w:sz w:val="22"/>
        </w:rPr>
        <w:t>Dai risultati emerge dunque che le imprese italiane, nell’ottica di un’efficace governance della sostenibilità, hanno riconosciuto l’importanza di integrare in C.d.A. specifiche competenze socio-ambientali, di mantenerle aggiornate mediante specifici programmi di aggiornamento, e di valorizzare l’impegno dei consiglieri sul tema attraverso incentivi legati alle performance</w:t>
      </w:r>
      <w:r w:rsidR="00E36771" w:rsidRPr="00E42CDF">
        <w:rPr>
          <w:rFonts w:asciiTheme="majorHAnsi" w:hAnsiTheme="majorHAnsi"/>
          <w:sz w:val="22"/>
        </w:rPr>
        <w:t>.</w:t>
      </w:r>
    </w:p>
    <w:p w:rsidR="00E36771" w:rsidRPr="00E42CDF" w:rsidRDefault="00E36771" w:rsidP="00E36771">
      <w:pPr>
        <w:pStyle w:val="ElencoPuntatoTabella"/>
        <w:numPr>
          <w:ilvl w:val="0"/>
          <w:numId w:val="0"/>
        </w:numPr>
        <w:spacing w:line="276" w:lineRule="auto"/>
        <w:rPr>
          <w:rFonts w:asciiTheme="majorHAnsi" w:hAnsiTheme="majorHAnsi"/>
          <w:sz w:val="22"/>
          <w:szCs w:val="22"/>
        </w:rPr>
      </w:pPr>
    </w:p>
    <w:p w:rsidR="0093403F" w:rsidRPr="00E42CDF" w:rsidRDefault="00E36771" w:rsidP="00CD27B1">
      <w:pPr>
        <w:pStyle w:val="ElencoPuntatoTabella"/>
        <w:numPr>
          <w:ilvl w:val="0"/>
          <w:numId w:val="0"/>
        </w:numPr>
        <w:rPr>
          <w:rFonts w:asciiTheme="majorHAnsi" w:hAnsiTheme="majorHAnsi"/>
          <w:i/>
          <w:sz w:val="22"/>
        </w:rPr>
      </w:pPr>
      <w:r w:rsidRPr="00E42CDF">
        <w:rPr>
          <w:rFonts w:asciiTheme="majorHAnsi" w:hAnsiTheme="majorHAnsi"/>
          <w:i/>
          <w:sz w:val="22"/>
        </w:rPr>
        <w:t>“I</w:t>
      </w:r>
      <w:r w:rsidR="0093403F" w:rsidRPr="00E42CDF">
        <w:rPr>
          <w:rFonts w:asciiTheme="majorHAnsi" w:hAnsiTheme="majorHAnsi"/>
          <w:i/>
          <w:sz w:val="22"/>
        </w:rPr>
        <w:t xml:space="preserve"> </w:t>
      </w:r>
      <w:r w:rsidRPr="00E42CDF">
        <w:rPr>
          <w:rFonts w:asciiTheme="majorHAnsi" w:hAnsiTheme="majorHAnsi"/>
          <w:i/>
          <w:sz w:val="22"/>
        </w:rPr>
        <w:t>dati</w:t>
      </w:r>
      <w:r w:rsidR="0093403F" w:rsidRPr="00E42CDF">
        <w:rPr>
          <w:rFonts w:asciiTheme="majorHAnsi" w:hAnsiTheme="majorHAnsi"/>
          <w:i/>
          <w:sz w:val="22"/>
        </w:rPr>
        <w:t xml:space="preserve"> confermano la tendenza consolidata delle grandi imprese quotate italiane a gestire la sostenibilità per mezzo di figure e </w:t>
      </w:r>
      <w:r w:rsidRPr="00E42CDF">
        <w:rPr>
          <w:rFonts w:asciiTheme="majorHAnsi" w:hAnsiTheme="majorHAnsi"/>
          <w:i/>
          <w:sz w:val="22"/>
        </w:rPr>
        <w:t>unità organizzative dedicate”</w:t>
      </w:r>
      <w:r w:rsidR="0093403F" w:rsidRPr="00E42CDF">
        <w:rPr>
          <w:rFonts w:asciiTheme="majorHAnsi" w:hAnsiTheme="majorHAnsi"/>
          <w:sz w:val="22"/>
        </w:rPr>
        <w:t xml:space="preserve"> </w:t>
      </w:r>
      <w:r w:rsidRPr="00E42CDF">
        <w:rPr>
          <w:rFonts w:asciiTheme="majorHAnsi" w:hAnsiTheme="majorHAnsi"/>
          <w:sz w:val="22"/>
        </w:rPr>
        <w:t>–</w:t>
      </w:r>
      <w:r w:rsidR="00585DCB" w:rsidRPr="00E42CDF">
        <w:rPr>
          <w:rFonts w:asciiTheme="majorHAnsi" w:hAnsiTheme="majorHAnsi"/>
          <w:sz w:val="22"/>
        </w:rPr>
        <w:t xml:space="preserve"> aggiunge</w:t>
      </w:r>
      <w:r w:rsidRPr="00E42CDF">
        <w:rPr>
          <w:rFonts w:asciiTheme="majorHAnsi" w:hAnsiTheme="majorHAnsi"/>
          <w:sz w:val="22"/>
        </w:rPr>
        <w:t xml:space="preserve"> </w:t>
      </w:r>
      <w:r w:rsidRPr="00E42CDF">
        <w:rPr>
          <w:rFonts w:asciiTheme="majorHAnsi" w:hAnsiTheme="majorHAnsi"/>
          <w:b/>
          <w:sz w:val="22"/>
        </w:rPr>
        <w:t>Fulvio Rossi</w:t>
      </w:r>
      <w:r w:rsidRPr="00E42CDF">
        <w:rPr>
          <w:rFonts w:asciiTheme="majorHAnsi" w:hAnsiTheme="majorHAnsi"/>
          <w:sz w:val="22"/>
        </w:rPr>
        <w:t xml:space="preserve"> – </w:t>
      </w:r>
      <w:r w:rsidRPr="00E42CDF">
        <w:rPr>
          <w:rFonts w:asciiTheme="majorHAnsi" w:hAnsiTheme="majorHAnsi"/>
          <w:i/>
          <w:sz w:val="22"/>
        </w:rPr>
        <w:t>“</w:t>
      </w:r>
      <w:r w:rsidR="0093403F" w:rsidRPr="00E42CDF">
        <w:rPr>
          <w:rFonts w:asciiTheme="majorHAnsi" w:hAnsiTheme="majorHAnsi"/>
          <w:i/>
          <w:sz w:val="22"/>
        </w:rPr>
        <w:t xml:space="preserve">Rispetto al 2013, quando l’analisi aveva evidenziato una scarsa interazione di queste unità con i vertici aziendali, si nota adesso che la situazione più comune tra le imprese FTSE MIB è quella in cui il responsabile o l’unità rispondono direttamente all’Amministratore Delegato (43%), mentre in un terzo dei casi riportano a </w:t>
      </w:r>
      <w:r w:rsidR="00CD27B1" w:rsidRPr="00E42CDF">
        <w:rPr>
          <w:rFonts w:asciiTheme="majorHAnsi" w:hAnsiTheme="majorHAnsi"/>
          <w:i/>
          <w:sz w:val="22"/>
        </w:rPr>
        <w:t>un unico livello intermedio: l</w:t>
      </w:r>
      <w:r w:rsidR="0093403F" w:rsidRPr="00E42CDF">
        <w:rPr>
          <w:rFonts w:asciiTheme="majorHAnsi" w:hAnsiTheme="majorHAnsi"/>
          <w:i/>
          <w:sz w:val="22"/>
        </w:rPr>
        <w:t xml:space="preserve">a diretta dipendenza delle unità dedicate alla Sostenibilità dai vertici aziendali </w:t>
      </w:r>
      <w:r w:rsidR="00337A0A" w:rsidRPr="00E42CDF">
        <w:rPr>
          <w:rFonts w:asciiTheme="majorHAnsi" w:hAnsiTheme="majorHAnsi"/>
          <w:i/>
          <w:sz w:val="22"/>
        </w:rPr>
        <w:t xml:space="preserve">sottolinea il legame </w:t>
      </w:r>
      <w:r w:rsidR="00CD27B1" w:rsidRPr="00E42CDF">
        <w:rPr>
          <w:rFonts w:asciiTheme="majorHAnsi" w:hAnsiTheme="majorHAnsi"/>
          <w:i/>
          <w:sz w:val="22"/>
        </w:rPr>
        <w:t>di tali attività</w:t>
      </w:r>
      <w:r w:rsidR="00337A0A" w:rsidRPr="00E42CDF">
        <w:rPr>
          <w:rFonts w:asciiTheme="majorHAnsi" w:hAnsiTheme="majorHAnsi"/>
          <w:i/>
          <w:sz w:val="22"/>
        </w:rPr>
        <w:t xml:space="preserve"> con la creazione di valore</w:t>
      </w:r>
      <w:r w:rsidRPr="00E42CDF">
        <w:rPr>
          <w:rFonts w:asciiTheme="majorHAnsi" w:hAnsiTheme="majorHAnsi"/>
          <w:i/>
          <w:sz w:val="22"/>
        </w:rPr>
        <w:t>”.</w:t>
      </w:r>
    </w:p>
    <w:p w:rsidR="00CD27B1" w:rsidRPr="00E42CDF" w:rsidRDefault="00CD27B1" w:rsidP="00CD27B1">
      <w:pPr>
        <w:pStyle w:val="ElencoPuntatoTabella"/>
        <w:numPr>
          <w:ilvl w:val="0"/>
          <w:numId w:val="0"/>
        </w:numPr>
        <w:rPr>
          <w:rFonts w:asciiTheme="minorHAnsi" w:hAnsiTheme="minorHAnsi" w:cstheme="minorHAnsi"/>
          <w:sz w:val="22"/>
          <w:szCs w:val="22"/>
        </w:rPr>
      </w:pPr>
    </w:p>
    <w:p w:rsidR="00E36771" w:rsidRPr="00E42CDF" w:rsidRDefault="00E91941" w:rsidP="00E36771">
      <w:pPr>
        <w:pStyle w:val="ElencoPuntatoTabella"/>
        <w:numPr>
          <w:ilvl w:val="0"/>
          <w:numId w:val="0"/>
        </w:numPr>
        <w:rPr>
          <w:rFonts w:asciiTheme="minorHAnsi" w:hAnsiTheme="minorHAnsi" w:cstheme="minorHAnsi"/>
          <w:b/>
          <w:sz w:val="22"/>
          <w:szCs w:val="22"/>
        </w:rPr>
      </w:pPr>
      <w:r w:rsidRPr="00E42CDF">
        <w:rPr>
          <w:rFonts w:asciiTheme="minorHAnsi" w:hAnsiTheme="minorHAnsi" w:cstheme="minorHAnsi"/>
          <w:b/>
          <w:sz w:val="22"/>
          <w:szCs w:val="22"/>
        </w:rPr>
        <w:t xml:space="preserve">La nuova struttura di governance della Sostenibilità: il ruolo </w:t>
      </w:r>
      <w:r w:rsidR="00E36771" w:rsidRPr="00E42CDF">
        <w:rPr>
          <w:rFonts w:asciiTheme="minorHAnsi" w:hAnsiTheme="minorHAnsi" w:cstheme="minorHAnsi"/>
          <w:b/>
          <w:sz w:val="22"/>
          <w:szCs w:val="22"/>
        </w:rPr>
        <w:t xml:space="preserve">crescente </w:t>
      </w:r>
      <w:r w:rsidRPr="00E42CDF">
        <w:rPr>
          <w:rFonts w:asciiTheme="minorHAnsi" w:hAnsiTheme="minorHAnsi" w:cstheme="minorHAnsi"/>
          <w:b/>
          <w:sz w:val="22"/>
          <w:szCs w:val="22"/>
        </w:rPr>
        <w:t>dei Comitati</w:t>
      </w:r>
      <w:bookmarkEnd w:id="3"/>
    </w:p>
    <w:p w:rsidR="00E36771" w:rsidRPr="00E42CDF" w:rsidRDefault="00E36771" w:rsidP="00E36771">
      <w:pPr>
        <w:pStyle w:val="ElencoPuntatoTabella"/>
        <w:numPr>
          <w:ilvl w:val="0"/>
          <w:numId w:val="0"/>
        </w:numPr>
        <w:rPr>
          <w:rFonts w:asciiTheme="minorHAnsi" w:hAnsiTheme="minorHAnsi" w:cstheme="minorHAnsi"/>
          <w:b/>
          <w:sz w:val="22"/>
          <w:szCs w:val="22"/>
        </w:rPr>
      </w:pPr>
    </w:p>
    <w:p w:rsidR="00E91941" w:rsidRPr="00E42CDF" w:rsidRDefault="00E91941" w:rsidP="00E36771">
      <w:pPr>
        <w:pStyle w:val="ElencoPuntatoTabella"/>
        <w:numPr>
          <w:ilvl w:val="0"/>
          <w:numId w:val="0"/>
        </w:numPr>
        <w:rPr>
          <w:rFonts w:asciiTheme="minorHAnsi" w:hAnsiTheme="minorHAnsi" w:cstheme="minorHAnsi"/>
          <w:sz w:val="22"/>
          <w:szCs w:val="22"/>
        </w:rPr>
      </w:pPr>
      <w:r w:rsidRPr="00E42CDF">
        <w:rPr>
          <w:rFonts w:asciiTheme="minorHAnsi" w:hAnsiTheme="minorHAnsi" w:cstheme="minorHAnsi"/>
          <w:sz w:val="22"/>
          <w:szCs w:val="22"/>
        </w:rPr>
        <w:t xml:space="preserve">Confrontando la configurazione dei modelli di governance adottati dalle imprese del FTSE MIB tra il 2013 e il 2016 è possibile notare che un consistente gruppo di </w:t>
      </w:r>
      <w:r w:rsidR="00F73443" w:rsidRPr="00E42CDF">
        <w:rPr>
          <w:rFonts w:asciiTheme="minorHAnsi" w:hAnsiTheme="minorHAnsi" w:cstheme="minorHAnsi"/>
          <w:sz w:val="22"/>
          <w:szCs w:val="22"/>
        </w:rPr>
        <w:t>aziende ha integrato i temi di s</w:t>
      </w:r>
      <w:r w:rsidRPr="00E42CDF">
        <w:rPr>
          <w:rFonts w:asciiTheme="minorHAnsi" w:hAnsiTheme="minorHAnsi" w:cstheme="minorHAnsi"/>
          <w:sz w:val="22"/>
          <w:szCs w:val="22"/>
        </w:rPr>
        <w:t>osteni</w:t>
      </w:r>
      <w:r w:rsidR="00F73443" w:rsidRPr="00E42CDF">
        <w:rPr>
          <w:rFonts w:asciiTheme="minorHAnsi" w:hAnsiTheme="minorHAnsi" w:cstheme="minorHAnsi"/>
          <w:sz w:val="22"/>
          <w:szCs w:val="22"/>
        </w:rPr>
        <w:t xml:space="preserve">bilità nella propria struttura. </w:t>
      </w:r>
      <w:r w:rsidR="00337A0A" w:rsidRPr="00E42CDF">
        <w:rPr>
          <w:rFonts w:asciiTheme="minorHAnsi" w:hAnsiTheme="minorHAnsi" w:cstheme="minorHAnsi"/>
          <w:sz w:val="22"/>
          <w:szCs w:val="22"/>
        </w:rPr>
        <w:t xml:space="preserve">Emerge </w:t>
      </w:r>
      <w:r w:rsidRPr="00E42CDF">
        <w:rPr>
          <w:rFonts w:asciiTheme="minorHAnsi" w:hAnsiTheme="minorHAnsi" w:cstheme="minorHAnsi"/>
          <w:sz w:val="22"/>
          <w:szCs w:val="22"/>
        </w:rPr>
        <w:t xml:space="preserve">il </w:t>
      </w:r>
      <w:r w:rsidRPr="00E42CDF">
        <w:rPr>
          <w:rFonts w:asciiTheme="minorHAnsi" w:hAnsiTheme="minorHAnsi" w:cstheme="minorHAnsi"/>
          <w:b/>
          <w:sz w:val="22"/>
          <w:szCs w:val="22"/>
        </w:rPr>
        <w:t>ruolo ormai preponderante svolto dai comitati interni al C.d.A. nelle imprese italiane</w:t>
      </w:r>
      <w:r w:rsidR="00E36771" w:rsidRPr="00E42CDF">
        <w:rPr>
          <w:rFonts w:asciiTheme="minorHAnsi" w:hAnsiTheme="minorHAnsi" w:cstheme="minorHAnsi"/>
          <w:sz w:val="22"/>
          <w:szCs w:val="22"/>
        </w:rPr>
        <w:t xml:space="preserve">, le quali </w:t>
      </w:r>
      <w:r w:rsidRPr="00E42CDF">
        <w:rPr>
          <w:rFonts w:asciiTheme="minorHAnsi" w:hAnsiTheme="minorHAnsi" w:cstheme="minorHAnsi"/>
          <w:sz w:val="22"/>
          <w:szCs w:val="22"/>
        </w:rPr>
        <w:t>hanno optato principalmente per passare da una supervisione collegiale a una forma che consenta un approccio specifico e dedicato, senza coinvolgere l’intero C.d.A.</w:t>
      </w:r>
      <w:r w:rsidR="00E36771" w:rsidRPr="00E42CDF">
        <w:rPr>
          <w:rFonts w:asciiTheme="minorHAnsi" w:hAnsiTheme="minorHAnsi" w:cstheme="minorHAnsi"/>
          <w:sz w:val="22"/>
          <w:szCs w:val="22"/>
        </w:rPr>
        <w:t>:</w:t>
      </w:r>
    </w:p>
    <w:p w:rsidR="00E91941" w:rsidRPr="00E42CDF" w:rsidRDefault="00E91941" w:rsidP="00E91941">
      <w:pPr>
        <w:pStyle w:val="ElencoPuntatoTabella"/>
        <w:spacing w:line="276" w:lineRule="auto"/>
        <w:rPr>
          <w:rFonts w:asciiTheme="minorHAnsi" w:hAnsiTheme="minorHAnsi" w:cstheme="minorHAnsi"/>
          <w:sz w:val="22"/>
          <w:szCs w:val="22"/>
        </w:rPr>
      </w:pPr>
      <w:proofErr w:type="gramStart"/>
      <w:r w:rsidRPr="00E42CDF">
        <w:rPr>
          <w:rFonts w:asciiTheme="minorHAnsi" w:hAnsiTheme="minorHAnsi" w:cstheme="minorHAnsi"/>
          <w:sz w:val="22"/>
          <w:szCs w:val="22"/>
        </w:rPr>
        <w:t>è</w:t>
      </w:r>
      <w:proofErr w:type="gramEnd"/>
      <w:r w:rsidRPr="00E42CDF">
        <w:rPr>
          <w:rFonts w:asciiTheme="minorHAnsi" w:hAnsiTheme="minorHAnsi" w:cstheme="minorHAnsi"/>
          <w:sz w:val="22"/>
          <w:szCs w:val="22"/>
        </w:rPr>
        <w:t xml:space="preserve"> cresciuto notevolmente il numero di aziende FTSE MIB che hanno istituito un comitato interno a</w:t>
      </w:r>
      <w:r w:rsidR="00F73443" w:rsidRPr="00E42CDF">
        <w:rPr>
          <w:rFonts w:asciiTheme="minorHAnsi" w:hAnsiTheme="minorHAnsi" w:cstheme="minorHAnsi"/>
          <w:sz w:val="22"/>
          <w:szCs w:val="22"/>
        </w:rPr>
        <w:t>l C.d.A. (dal 17% al 42</w:t>
      </w:r>
      <w:r w:rsidR="00E36771" w:rsidRPr="00E42CDF">
        <w:rPr>
          <w:rFonts w:asciiTheme="minorHAnsi" w:hAnsiTheme="minorHAnsi" w:cstheme="minorHAnsi"/>
          <w:sz w:val="22"/>
          <w:szCs w:val="22"/>
        </w:rPr>
        <w:t>%)</w:t>
      </w:r>
    </w:p>
    <w:p w:rsidR="00E91941" w:rsidRPr="00E42CDF" w:rsidRDefault="00E91941" w:rsidP="00E91941">
      <w:pPr>
        <w:pStyle w:val="ElencoPuntatoTabella"/>
        <w:spacing w:line="276" w:lineRule="auto"/>
        <w:rPr>
          <w:rFonts w:asciiTheme="minorHAnsi" w:hAnsiTheme="minorHAnsi" w:cstheme="minorHAnsi"/>
          <w:sz w:val="22"/>
          <w:szCs w:val="22"/>
        </w:rPr>
      </w:pPr>
      <w:proofErr w:type="gramStart"/>
      <w:r w:rsidRPr="00E42CDF">
        <w:rPr>
          <w:rFonts w:asciiTheme="minorHAnsi" w:hAnsiTheme="minorHAnsi" w:cstheme="minorHAnsi"/>
          <w:sz w:val="22"/>
          <w:szCs w:val="22"/>
        </w:rPr>
        <w:t>un</w:t>
      </w:r>
      <w:proofErr w:type="gramEnd"/>
      <w:r w:rsidRPr="00E42CDF">
        <w:rPr>
          <w:rFonts w:asciiTheme="minorHAnsi" w:hAnsiTheme="minorHAnsi" w:cstheme="minorHAnsi"/>
          <w:sz w:val="22"/>
          <w:szCs w:val="22"/>
        </w:rPr>
        <w:t xml:space="preserve"> numero rilevante di imprese ha scelto, invece, di affidare i temi socio-ambientali a uno dei comitati g</w:t>
      </w:r>
      <w:r w:rsidR="00F73443" w:rsidRPr="00E42CDF">
        <w:rPr>
          <w:rFonts w:asciiTheme="minorHAnsi" w:hAnsiTheme="minorHAnsi" w:cstheme="minorHAnsi"/>
          <w:sz w:val="22"/>
          <w:szCs w:val="22"/>
        </w:rPr>
        <w:t>ià esistenti (dal 12</w:t>
      </w:r>
      <w:r w:rsidR="00E36771" w:rsidRPr="00E42CDF">
        <w:rPr>
          <w:rFonts w:asciiTheme="minorHAnsi" w:hAnsiTheme="minorHAnsi" w:cstheme="minorHAnsi"/>
          <w:sz w:val="22"/>
          <w:szCs w:val="22"/>
        </w:rPr>
        <w:t>% al 25%)</w:t>
      </w:r>
    </w:p>
    <w:p w:rsidR="00E91941" w:rsidRPr="00E42CDF" w:rsidRDefault="00E91941" w:rsidP="00E91941">
      <w:pPr>
        <w:pStyle w:val="ElencoPuntatoTabella"/>
        <w:spacing w:line="276" w:lineRule="auto"/>
        <w:rPr>
          <w:rFonts w:asciiTheme="minorHAnsi" w:hAnsiTheme="minorHAnsi" w:cstheme="minorHAnsi"/>
          <w:sz w:val="22"/>
          <w:szCs w:val="22"/>
        </w:rPr>
      </w:pPr>
      <w:proofErr w:type="gramStart"/>
      <w:r w:rsidRPr="00E42CDF">
        <w:rPr>
          <w:rFonts w:asciiTheme="minorHAnsi" w:hAnsiTheme="minorHAnsi" w:cstheme="minorHAnsi"/>
          <w:sz w:val="22"/>
          <w:szCs w:val="22"/>
        </w:rPr>
        <w:t>si</w:t>
      </w:r>
      <w:proofErr w:type="gramEnd"/>
      <w:r w:rsidRPr="00E42CDF">
        <w:rPr>
          <w:rFonts w:asciiTheme="minorHAnsi" w:hAnsiTheme="minorHAnsi" w:cstheme="minorHAnsi"/>
          <w:sz w:val="22"/>
          <w:szCs w:val="22"/>
        </w:rPr>
        <w:t xml:space="preserve"> è ridotto il numero di imprese che assegna al C.d.A. solo un compito di generica supervisione delle tema</w:t>
      </w:r>
      <w:r w:rsidR="00F73443" w:rsidRPr="00E42CDF">
        <w:rPr>
          <w:rFonts w:asciiTheme="minorHAnsi" w:hAnsiTheme="minorHAnsi" w:cstheme="minorHAnsi"/>
          <w:sz w:val="22"/>
          <w:szCs w:val="22"/>
        </w:rPr>
        <w:t>tiche di Sostenibilità (dal 47</w:t>
      </w:r>
      <w:r w:rsidRPr="00E42CDF">
        <w:rPr>
          <w:rFonts w:asciiTheme="minorHAnsi" w:hAnsiTheme="minorHAnsi" w:cstheme="minorHAnsi"/>
          <w:sz w:val="22"/>
          <w:szCs w:val="22"/>
        </w:rPr>
        <w:t>% al 20%).</w:t>
      </w:r>
    </w:p>
    <w:p w:rsidR="00585DCB" w:rsidRPr="00E42CDF" w:rsidRDefault="00585DCB" w:rsidP="00585DCB">
      <w:pPr>
        <w:pStyle w:val="ElencoPuntatoTabella"/>
        <w:numPr>
          <w:ilvl w:val="0"/>
          <w:numId w:val="0"/>
        </w:numPr>
      </w:pPr>
    </w:p>
    <w:p w:rsidR="00585DCB" w:rsidRPr="00BE5347" w:rsidRDefault="00585DCB" w:rsidP="00BE5347">
      <w:pPr>
        <w:pStyle w:val="ElencoPuntatoTabella"/>
        <w:numPr>
          <w:ilvl w:val="0"/>
          <w:numId w:val="0"/>
        </w:numPr>
        <w:rPr>
          <w:rFonts w:asciiTheme="minorHAnsi" w:hAnsiTheme="minorHAnsi" w:cstheme="minorHAnsi"/>
          <w:i/>
          <w:sz w:val="22"/>
          <w:szCs w:val="22"/>
        </w:rPr>
      </w:pPr>
      <w:r w:rsidRPr="00E42CDF">
        <w:rPr>
          <w:rFonts w:asciiTheme="minorHAnsi" w:hAnsiTheme="minorHAnsi" w:cstheme="minorHAnsi"/>
          <w:i/>
          <w:sz w:val="22"/>
          <w:szCs w:val="22"/>
        </w:rPr>
        <w:t>“</w:t>
      </w:r>
      <w:r w:rsidR="00BE5347">
        <w:rPr>
          <w:rFonts w:asciiTheme="minorHAnsi" w:hAnsiTheme="minorHAnsi" w:cstheme="minorHAnsi"/>
          <w:i/>
          <w:sz w:val="22"/>
          <w:szCs w:val="22"/>
        </w:rPr>
        <w:t>Il Comitato di sostenibilità interno al C.d.A.</w:t>
      </w:r>
      <w:r w:rsidRPr="00E42CDF">
        <w:rPr>
          <w:rFonts w:asciiTheme="minorHAnsi" w:hAnsiTheme="minorHAnsi" w:cstheme="minorHAnsi"/>
          <w:i/>
          <w:sz w:val="22"/>
          <w:szCs w:val="22"/>
        </w:rPr>
        <w:t xml:space="preserve"> </w:t>
      </w:r>
      <w:r w:rsidRPr="00E42CDF">
        <w:rPr>
          <w:rFonts w:asciiTheme="majorHAnsi" w:hAnsiTheme="majorHAnsi"/>
          <w:sz w:val="22"/>
        </w:rPr>
        <w:t xml:space="preserve">– commenta </w:t>
      </w:r>
      <w:r w:rsidR="00BE5347" w:rsidRPr="00BE5347">
        <w:rPr>
          <w:rFonts w:asciiTheme="majorHAnsi" w:hAnsiTheme="majorHAnsi"/>
          <w:b/>
          <w:sz w:val="22"/>
        </w:rPr>
        <w:t>Mario Molteni</w:t>
      </w:r>
      <w:r w:rsidR="00BE5347">
        <w:rPr>
          <w:rFonts w:asciiTheme="majorHAnsi" w:hAnsiTheme="majorHAnsi"/>
          <w:sz w:val="22"/>
        </w:rPr>
        <w:t xml:space="preserve">, </w:t>
      </w:r>
      <w:r w:rsidR="00BE5347" w:rsidRPr="00BA2009">
        <w:rPr>
          <w:rFonts w:asciiTheme="majorHAnsi" w:hAnsiTheme="majorHAnsi"/>
          <w:b/>
          <w:sz w:val="22"/>
        </w:rPr>
        <w:t>responsabile della ricerca</w:t>
      </w:r>
      <w:r w:rsidR="00BA2009" w:rsidRPr="00BA2009">
        <w:rPr>
          <w:rFonts w:asciiTheme="majorHAnsi" w:hAnsiTheme="majorHAnsi"/>
          <w:b/>
          <w:sz w:val="22"/>
        </w:rPr>
        <w:t xml:space="preserve"> e direttore scientifico CSR Manager Network</w:t>
      </w:r>
      <w:r w:rsidRPr="00E42CDF">
        <w:rPr>
          <w:rFonts w:asciiTheme="minorHAnsi" w:hAnsiTheme="minorHAnsi" w:cstheme="minorHAnsi"/>
          <w:b/>
          <w:sz w:val="22"/>
          <w:szCs w:val="22"/>
        </w:rPr>
        <w:t xml:space="preserve"> – </w:t>
      </w:r>
      <w:r w:rsidR="00BE5347" w:rsidRPr="00BE5347">
        <w:rPr>
          <w:rFonts w:asciiTheme="minorHAnsi" w:hAnsiTheme="minorHAnsi" w:cstheme="minorHAnsi"/>
          <w:i/>
          <w:sz w:val="22"/>
          <w:szCs w:val="22"/>
        </w:rPr>
        <w:t xml:space="preserve">rappresenta un passo decisivo. </w:t>
      </w:r>
      <w:r w:rsidR="00BE5347">
        <w:rPr>
          <w:rFonts w:asciiTheme="minorHAnsi" w:hAnsiTheme="minorHAnsi" w:cstheme="minorHAnsi"/>
          <w:i/>
          <w:sz w:val="22"/>
          <w:szCs w:val="22"/>
        </w:rPr>
        <w:t xml:space="preserve">Se </w:t>
      </w:r>
      <w:r w:rsidR="00BE5347" w:rsidRPr="00BE5347">
        <w:rPr>
          <w:rFonts w:asciiTheme="minorHAnsi" w:hAnsiTheme="minorHAnsi" w:cstheme="minorHAnsi"/>
          <w:i/>
          <w:sz w:val="22"/>
          <w:szCs w:val="22"/>
        </w:rPr>
        <w:t>Consiglieri e top manage</w:t>
      </w:r>
      <w:r w:rsidR="00BE5347">
        <w:rPr>
          <w:rFonts w:asciiTheme="minorHAnsi" w:hAnsiTheme="minorHAnsi" w:cstheme="minorHAnsi"/>
          <w:i/>
          <w:sz w:val="22"/>
          <w:szCs w:val="22"/>
        </w:rPr>
        <w:t xml:space="preserve">r </w:t>
      </w:r>
      <w:r w:rsidR="00BE5347" w:rsidRPr="00BE5347">
        <w:rPr>
          <w:rFonts w:asciiTheme="minorHAnsi" w:hAnsiTheme="minorHAnsi" w:cstheme="minorHAnsi"/>
          <w:i/>
          <w:sz w:val="22"/>
          <w:szCs w:val="22"/>
        </w:rPr>
        <w:t xml:space="preserve"> comprender</w:t>
      </w:r>
      <w:r w:rsidR="00BE5347">
        <w:rPr>
          <w:rFonts w:asciiTheme="minorHAnsi" w:hAnsiTheme="minorHAnsi" w:cstheme="minorHAnsi"/>
          <w:i/>
          <w:sz w:val="22"/>
          <w:szCs w:val="22"/>
        </w:rPr>
        <w:t xml:space="preserve">anno insieme </w:t>
      </w:r>
      <w:r w:rsidR="00BE5347" w:rsidRPr="00BE5347">
        <w:rPr>
          <w:rFonts w:asciiTheme="minorHAnsi" w:hAnsiTheme="minorHAnsi" w:cstheme="minorHAnsi"/>
          <w:i/>
          <w:sz w:val="22"/>
          <w:szCs w:val="22"/>
        </w:rPr>
        <w:t xml:space="preserve">come l’attenzione alla sostenibilità può potenziare fatturato e profitto dell’impresa, allora è fatta. Davvero salute delle imprese e raggiungimento dei Sustainable Development Goals potranno andare a braccetto”. </w:t>
      </w:r>
    </w:p>
    <w:p w:rsidR="0006394C" w:rsidRDefault="0006394C" w:rsidP="0093403F">
      <w:pPr>
        <w:pStyle w:val="Titolo2"/>
        <w:spacing w:line="276" w:lineRule="auto"/>
        <w:rPr>
          <w:rFonts w:asciiTheme="minorHAnsi" w:hAnsiTheme="minorHAnsi" w:cstheme="minorHAnsi"/>
          <w:color w:val="auto"/>
        </w:rPr>
      </w:pPr>
      <w:bookmarkStart w:id="4" w:name="_Toc505259635"/>
    </w:p>
    <w:p w:rsidR="0093403F" w:rsidRPr="00E42CDF" w:rsidRDefault="00E36771" w:rsidP="0093403F">
      <w:pPr>
        <w:pStyle w:val="Titolo2"/>
        <w:spacing w:line="276" w:lineRule="auto"/>
        <w:rPr>
          <w:rFonts w:asciiTheme="minorHAnsi" w:hAnsiTheme="minorHAnsi" w:cstheme="minorHAnsi"/>
          <w:color w:val="auto"/>
        </w:rPr>
      </w:pPr>
      <w:r w:rsidRPr="00E42CDF">
        <w:rPr>
          <w:rFonts w:asciiTheme="minorHAnsi" w:hAnsiTheme="minorHAnsi" w:cstheme="minorHAnsi"/>
          <w:color w:val="auto"/>
        </w:rPr>
        <w:t>Sempre maggiore c</w:t>
      </w:r>
      <w:r w:rsidR="0093403F" w:rsidRPr="00E42CDF">
        <w:rPr>
          <w:rFonts w:asciiTheme="minorHAnsi" w:hAnsiTheme="minorHAnsi" w:cstheme="minorHAnsi"/>
          <w:color w:val="auto"/>
        </w:rPr>
        <w:t>oerenza tra comunicazione e azione</w:t>
      </w:r>
      <w:bookmarkEnd w:id="4"/>
    </w:p>
    <w:p w:rsidR="0093403F" w:rsidRPr="00E42CDF" w:rsidRDefault="0093403F" w:rsidP="0093403F">
      <w:pPr>
        <w:pStyle w:val="Testo"/>
        <w:rPr>
          <w:rFonts w:cstheme="minorHAnsi"/>
          <w:sz w:val="22"/>
          <w:szCs w:val="22"/>
          <w:lang w:val="it-IT"/>
        </w:rPr>
      </w:pPr>
      <w:r w:rsidRPr="00E42CDF">
        <w:rPr>
          <w:rFonts w:cstheme="minorHAnsi"/>
          <w:sz w:val="22"/>
          <w:szCs w:val="22"/>
          <w:lang w:val="it-IT"/>
        </w:rPr>
        <w:t xml:space="preserve">Rispetto al 2013 è </w:t>
      </w:r>
      <w:r w:rsidRPr="00E42CDF">
        <w:rPr>
          <w:rFonts w:cstheme="minorHAnsi"/>
          <w:b/>
          <w:sz w:val="22"/>
          <w:szCs w:val="22"/>
          <w:lang w:val="it-IT"/>
        </w:rPr>
        <w:t>aumentata significativamente la trasparenza</w:t>
      </w:r>
      <w:r w:rsidRPr="00E42CDF">
        <w:rPr>
          <w:rFonts w:cstheme="minorHAnsi"/>
          <w:sz w:val="22"/>
          <w:szCs w:val="22"/>
          <w:lang w:val="it-IT"/>
        </w:rPr>
        <w:t xml:space="preserve"> delle imprese sul proprio impegno </w:t>
      </w:r>
      <w:r w:rsidR="00E36771" w:rsidRPr="00E42CDF">
        <w:rPr>
          <w:rFonts w:cstheme="minorHAnsi"/>
          <w:sz w:val="22"/>
          <w:szCs w:val="22"/>
          <w:lang w:val="it-IT"/>
        </w:rPr>
        <w:t>verso la sostenibilità</w:t>
      </w:r>
      <w:r w:rsidRPr="00E42CDF">
        <w:rPr>
          <w:rFonts w:cstheme="minorHAnsi"/>
          <w:sz w:val="22"/>
          <w:szCs w:val="22"/>
          <w:lang w:val="it-IT"/>
        </w:rPr>
        <w:t xml:space="preserve"> e si è ridotto il divario tra ciò che le imprese comunicano di voler fare </w:t>
      </w:r>
      <w:r w:rsidR="00E36771" w:rsidRPr="00E42CDF">
        <w:rPr>
          <w:rFonts w:cstheme="minorHAnsi"/>
          <w:sz w:val="22"/>
          <w:szCs w:val="22"/>
          <w:lang w:val="it-IT"/>
        </w:rPr>
        <w:t>in chiave sostenibile</w:t>
      </w:r>
      <w:r w:rsidRPr="00E42CDF">
        <w:rPr>
          <w:rFonts w:cstheme="minorHAnsi"/>
          <w:sz w:val="22"/>
          <w:szCs w:val="22"/>
          <w:lang w:val="it-IT"/>
        </w:rPr>
        <w:t xml:space="preserve"> e ciò che effettivamente riescono a rendicontare:</w:t>
      </w:r>
    </w:p>
    <w:p w:rsidR="0093403F" w:rsidRPr="00E42CDF" w:rsidRDefault="0093403F" w:rsidP="0093403F">
      <w:pPr>
        <w:pStyle w:val="ElencoPuntatoTabella"/>
        <w:spacing w:before="0" w:line="276" w:lineRule="auto"/>
        <w:ind w:left="357" w:hanging="357"/>
        <w:rPr>
          <w:rFonts w:asciiTheme="minorHAnsi" w:hAnsiTheme="minorHAnsi" w:cstheme="minorHAnsi"/>
          <w:sz w:val="22"/>
          <w:szCs w:val="22"/>
        </w:rPr>
      </w:pPr>
      <w:proofErr w:type="gramStart"/>
      <w:r w:rsidRPr="00E42CDF">
        <w:rPr>
          <w:rFonts w:asciiTheme="minorHAnsi" w:hAnsiTheme="minorHAnsi" w:cstheme="minorHAnsi"/>
          <w:sz w:val="22"/>
          <w:szCs w:val="22"/>
        </w:rPr>
        <w:t>il</w:t>
      </w:r>
      <w:proofErr w:type="gramEnd"/>
      <w:r w:rsidR="003C2757" w:rsidRPr="00E42CDF">
        <w:rPr>
          <w:rFonts w:asciiTheme="minorHAnsi" w:hAnsiTheme="minorHAnsi" w:cstheme="minorHAnsi"/>
          <w:sz w:val="22"/>
          <w:szCs w:val="22"/>
        </w:rPr>
        <w:t xml:space="preserve"> </w:t>
      </w:r>
      <w:r w:rsidRPr="00E42CDF">
        <w:rPr>
          <w:rFonts w:asciiTheme="minorHAnsi" w:hAnsiTheme="minorHAnsi" w:cstheme="minorHAnsi"/>
          <w:sz w:val="22"/>
          <w:szCs w:val="22"/>
        </w:rPr>
        <w:t>74% delle imprese del FTSE MIB ha esplicitato i propri obiettivi socio-ambientali sia in termini quantita</w:t>
      </w:r>
      <w:r w:rsidR="00BE263E" w:rsidRPr="00E42CDF">
        <w:rPr>
          <w:rFonts w:asciiTheme="minorHAnsi" w:hAnsiTheme="minorHAnsi" w:cstheme="minorHAnsi"/>
          <w:sz w:val="22"/>
          <w:szCs w:val="22"/>
        </w:rPr>
        <w:t>tivi sia in termini qualitativi</w:t>
      </w:r>
    </w:p>
    <w:p w:rsidR="0093403F" w:rsidRPr="00E42CDF" w:rsidRDefault="0093403F" w:rsidP="0093403F">
      <w:pPr>
        <w:pStyle w:val="ElencoPuntatoTabella"/>
        <w:spacing w:line="276" w:lineRule="auto"/>
        <w:rPr>
          <w:rFonts w:asciiTheme="minorHAnsi" w:hAnsiTheme="minorHAnsi" w:cstheme="minorHAnsi"/>
          <w:sz w:val="22"/>
          <w:szCs w:val="22"/>
        </w:rPr>
      </w:pPr>
      <w:proofErr w:type="gramStart"/>
      <w:r w:rsidRPr="00E42CDF">
        <w:rPr>
          <w:rFonts w:asciiTheme="minorHAnsi" w:hAnsiTheme="minorHAnsi" w:cstheme="minorHAnsi"/>
          <w:sz w:val="22"/>
          <w:szCs w:val="22"/>
        </w:rPr>
        <w:t>gli</w:t>
      </w:r>
      <w:proofErr w:type="gramEnd"/>
      <w:r w:rsidRPr="00E42CDF">
        <w:rPr>
          <w:rFonts w:asciiTheme="minorHAnsi" w:hAnsiTheme="minorHAnsi" w:cstheme="minorHAnsi"/>
          <w:sz w:val="22"/>
          <w:szCs w:val="22"/>
        </w:rPr>
        <w:t xml:space="preserve"> obiettivi di sostenibilità sono stati comunicati chiaramente agli stakeholder da </w:t>
      </w:r>
      <w:r w:rsidR="00BE263E" w:rsidRPr="00E42CDF">
        <w:rPr>
          <w:rFonts w:asciiTheme="minorHAnsi" w:hAnsiTheme="minorHAnsi" w:cstheme="minorHAnsi"/>
          <w:sz w:val="22"/>
          <w:szCs w:val="22"/>
        </w:rPr>
        <w:t>3</w:t>
      </w:r>
      <w:r w:rsidRPr="00E42CDF">
        <w:rPr>
          <w:rFonts w:asciiTheme="minorHAnsi" w:hAnsiTheme="minorHAnsi" w:cstheme="minorHAnsi"/>
          <w:sz w:val="22"/>
          <w:szCs w:val="22"/>
        </w:rPr>
        <w:t xml:space="preserve"> imprese su </w:t>
      </w:r>
      <w:r w:rsidR="00BE263E" w:rsidRPr="00E42CDF">
        <w:rPr>
          <w:rFonts w:asciiTheme="minorHAnsi" w:hAnsiTheme="minorHAnsi" w:cstheme="minorHAnsi"/>
          <w:sz w:val="22"/>
          <w:szCs w:val="22"/>
        </w:rPr>
        <w:t>4</w:t>
      </w:r>
      <w:r w:rsidRPr="00E42CDF">
        <w:rPr>
          <w:rFonts w:asciiTheme="minorHAnsi" w:hAnsiTheme="minorHAnsi" w:cstheme="minorHAnsi"/>
          <w:sz w:val="22"/>
          <w:szCs w:val="22"/>
        </w:rPr>
        <w:t xml:space="preserve">, attraverso forme diverse di </w:t>
      </w:r>
      <w:r w:rsidR="00BE263E" w:rsidRPr="00E42CDF">
        <w:rPr>
          <w:rFonts w:asciiTheme="minorHAnsi" w:hAnsiTheme="minorHAnsi" w:cstheme="minorHAnsi"/>
          <w:sz w:val="22"/>
          <w:szCs w:val="22"/>
        </w:rPr>
        <w:t>comunicazione e rendicontazione</w:t>
      </w:r>
    </w:p>
    <w:p w:rsidR="0093403F" w:rsidRPr="00E42CDF" w:rsidRDefault="0093403F" w:rsidP="00F73443">
      <w:pPr>
        <w:pStyle w:val="ElencoPuntatoTabella"/>
        <w:spacing w:line="276" w:lineRule="auto"/>
        <w:rPr>
          <w:rFonts w:asciiTheme="minorHAnsi" w:hAnsiTheme="minorHAnsi" w:cstheme="minorHAnsi"/>
          <w:sz w:val="22"/>
          <w:szCs w:val="22"/>
        </w:rPr>
      </w:pPr>
      <w:proofErr w:type="gramStart"/>
      <w:r w:rsidRPr="00E42CDF">
        <w:rPr>
          <w:rFonts w:asciiTheme="minorHAnsi" w:hAnsiTheme="minorHAnsi" w:cstheme="minorHAnsi"/>
          <w:sz w:val="22"/>
          <w:szCs w:val="22"/>
        </w:rPr>
        <w:t>sono</w:t>
      </w:r>
      <w:proofErr w:type="gramEnd"/>
      <w:r w:rsidRPr="00E42CDF">
        <w:rPr>
          <w:rFonts w:asciiTheme="minorHAnsi" w:hAnsiTheme="minorHAnsi" w:cstheme="minorHAnsi"/>
          <w:sz w:val="22"/>
          <w:szCs w:val="22"/>
        </w:rPr>
        <w:t xml:space="preserve"> raddoppiate le imprese che presentano le iniziative </w:t>
      </w:r>
      <w:bookmarkStart w:id="5" w:name="_Hlk504056739"/>
      <w:r w:rsidRPr="00E42CDF">
        <w:rPr>
          <w:rFonts w:asciiTheme="minorHAnsi" w:hAnsiTheme="minorHAnsi" w:cstheme="minorHAnsi"/>
          <w:sz w:val="22"/>
          <w:szCs w:val="22"/>
        </w:rPr>
        <w:t>in tema di Sostenibilità</w:t>
      </w:r>
      <w:bookmarkEnd w:id="5"/>
      <w:r w:rsidRPr="00E42CDF">
        <w:rPr>
          <w:rFonts w:asciiTheme="minorHAnsi" w:hAnsiTheme="minorHAnsi" w:cstheme="minorHAnsi"/>
          <w:sz w:val="22"/>
          <w:szCs w:val="22"/>
        </w:rPr>
        <w:t xml:space="preserve"> durante l’Assemb</w:t>
      </w:r>
      <w:r w:rsidR="00F73443" w:rsidRPr="00E42CDF">
        <w:rPr>
          <w:rFonts w:asciiTheme="minorHAnsi" w:hAnsiTheme="minorHAnsi" w:cstheme="minorHAnsi"/>
          <w:sz w:val="22"/>
          <w:szCs w:val="22"/>
        </w:rPr>
        <w:t>lea dei soci (35</w:t>
      </w:r>
      <w:r w:rsidRPr="00E42CDF">
        <w:rPr>
          <w:rFonts w:asciiTheme="minorHAnsi" w:hAnsiTheme="minorHAnsi" w:cstheme="minorHAnsi"/>
          <w:sz w:val="22"/>
          <w:szCs w:val="22"/>
        </w:rPr>
        <w:t>%).</w:t>
      </w:r>
    </w:p>
    <w:p w:rsidR="0093403F" w:rsidRPr="00E42CDF" w:rsidRDefault="0093403F" w:rsidP="0093403F">
      <w:pPr>
        <w:pStyle w:val="ElencoPuntatoTabella"/>
        <w:numPr>
          <w:ilvl w:val="0"/>
          <w:numId w:val="0"/>
        </w:numPr>
        <w:rPr>
          <w:rFonts w:asciiTheme="minorHAnsi" w:hAnsiTheme="minorHAnsi" w:cstheme="minorHAnsi"/>
          <w:sz w:val="22"/>
          <w:szCs w:val="22"/>
        </w:rPr>
      </w:pPr>
      <w:bookmarkStart w:id="6" w:name="_Toc505259636"/>
    </w:p>
    <w:bookmarkEnd w:id="6"/>
    <w:p w:rsidR="00BE263E" w:rsidRPr="00E42CDF" w:rsidRDefault="00BE263E" w:rsidP="00BE263E">
      <w:pPr>
        <w:pStyle w:val="ElencoPuntatoTabella"/>
        <w:numPr>
          <w:ilvl w:val="0"/>
          <w:numId w:val="0"/>
        </w:numPr>
        <w:rPr>
          <w:rFonts w:asciiTheme="minorHAnsi" w:hAnsiTheme="minorHAnsi" w:cstheme="minorHAnsi"/>
          <w:sz w:val="22"/>
          <w:szCs w:val="22"/>
        </w:rPr>
      </w:pPr>
    </w:p>
    <w:p w:rsidR="0093403F" w:rsidRPr="00E42CDF" w:rsidRDefault="00585DCB" w:rsidP="00585DCB">
      <w:pPr>
        <w:pStyle w:val="ElencoPuntatoTabella"/>
        <w:numPr>
          <w:ilvl w:val="0"/>
          <w:numId w:val="0"/>
        </w:numPr>
        <w:rPr>
          <w:rFonts w:asciiTheme="minorHAnsi" w:hAnsiTheme="minorHAnsi" w:cstheme="minorHAnsi"/>
          <w:sz w:val="22"/>
          <w:szCs w:val="22"/>
        </w:rPr>
      </w:pPr>
      <w:r w:rsidRPr="00E42CDF">
        <w:rPr>
          <w:rFonts w:asciiTheme="minorHAnsi" w:hAnsiTheme="minorHAnsi" w:cstheme="minorHAnsi"/>
          <w:sz w:val="22"/>
          <w:szCs w:val="22"/>
        </w:rPr>
        <w:t>Inoltre,</w:t>
      </w:r>
      <w:r w:rsidR="00BE263E" w:rsidRPr="00E42CDF">
        <w:rPr>
          <w:rFonts w:asciiTheme="minorHAnsi" w:hAnsiTheme="minorHAnsi" w:cstheme="minorHAnsi"/>
          <w:sz w:val="22"/>
          <w:szCs w:val="22"/>
        </w:rPr>
        <w:t xml:space="preserve"> l</w:t>
      </w:r>
      <w:r w:rsidR="0093403F" w:rsidRPr="00E42CDF">
        <w:rPr>
          <w:rFonts w:asciiTheme="minorHAnsi" w:hAnsiTheme="minorHAnsi" w:cstheme="minorHAnsi"/>
          <w:sz w:val="22"/>
          <w:szCs w:val="22"/>
        </w:rPr>
        <w:t xml:space="preserve">a </w:t>
      </w:r>
      <w:r w:rsidRPr="00E42CDF">
        <w:rPr>
          <w:rFonts w:asciiTheme="minorHAnsi" w:hAnsiTheme="minorHAnsi" w:cstheme="minorHAnsi"/>
          <w:b/>
          <w:sz w:val="22"/>
          <w:szCs w:val="22"/>
        </w:rPr>
        <w:t>crescente</w:t>
      </w:r>
      <w:r w:rsidR="0093403F" w:rsidRPr="00E42CDF">
        <w:rPr>
          <w:rFonts w:asciiTheme="minorHAnsi" w:hAnsiTheme="minorHAnsi" w:cstheme="minorHAnsi"/>
          <w:b/>
          <w:sz w:val="22"/>
          <w:szCs w:val="22"/>
        </w:rPr>
        <w:t xml:space="preserve"> importanza del </w:t>
      </w:r>
      <w:r w:rsidRPr="00E42CDF">
        <w:rPr>
          <w:rFonts w:asciiTheme="minorHAnsi" w:hAnsiTheme="minorHAnsi" w:cstheme="minorHAnsi"/>
          <w:b/>
          <w:sz w:val="22"/>
          <w:szCs w:val="22"/>
        </w:rPr>
        <w:t>Bilancio</w:t>
      </w:r>
      <w:r w:rsidR="00F73443" w:rsidRPr="00E42CDF">
        <w:rPr>
          <w:rFonts w:asciiTheme="minorHAnsi" w:hAnsiTheme="minorHAnsi" w:cstheme="minorHAnsi"/>
          <w:b/>
          <w:sz w:val="22"/>
          <w:szCs w:val="22"/>
        </w:rPr>
        <w:t xml:space="preserve"> di s</w:t>
      </w:r>
      <w:r w:rsidR="0093403F" w:rsidRPr="00E42CDF">
        <w:rPr>
          <w:rFonts w:asciiTheme="minorHAnsi" w:hAnsiTheme="minorHAnsi" w:cstheme="minorHAnsi"/>
          <w:b/>
          <w:sz w:val="22"/>
          <w:szCs w:val="22"/>
        </w:rPr>
        <w:t>ostenibilità</w:t>
      </w:r>
      <w:r w:rsidR="0093403F" w:rsidRPr="00E42CDF">
        <w:rPr>
          <w:rFonts w:asciiTheme="minorHAnsi" w:hAnsiTheme="minorHAnsi" w:cstheme="minorHAnsi"/>
          <w:sz w:val="22"/>
          <w:szCs w:val="22"/>
        </w:rPr>
        <w:t xml:space="preserve"> è confermata dalla </w:t>
      </w:r>
      <w:r w:rsidR="0093403F" w:rsidRPr="00E42CDF">
        <w:rPr>
          <w:rFonts w:asciiTheme="minorHAnsi" w:hAnsiTheme="minorHAnsi" w:cstheme="minorHAnsi"/>
          <w:b/>
          <w:sz w:val="22"/>
          <w:szCs w:val="22"/>
        </w:rPr>
        <w:t>grande</w:t>
      </w:r>
      <w:r w:rsidR="0093403F" w:rsidRPr="00E42CDF">
        <w:rPr>
          <w:rFonts w:asciiTheme="minorHAnsi" w:hAnsiTheme="minorHAnsi" w:cstheme="minorHAnsi"/>
          <w:sz w:val="22"/>
          <w:szCs w:val="22"/>
        </w:rPr>
        <w:t xml:space="preserve"> </w:t>
      </w:r>
      <w:r w:rsidR="0093403F" w:rsidRPr="00E42CDF">
        <w:rPr>
          <w:rFonts w:asciiTheme="minorHAnsi" w:hAnsiTheme="minorHAnsi" w:cstheme="minorHAnsi"/>
          <w:b/>
          <w:sz w:val="22"/>
          <w:szCs w:val="22"/>
        </w:rPr>
        <w:t>adesione agli standard intern</w:t>
      </w:r>
      <w:r w:rsidR="00F73443" w:rsidRPr="00E42CDF">
        <w:rPr>
          <w:rFonts w:asciiTheme="minorHAnsi" w:hAnsiTheme="minorHAnsi" w:cstheme="minorHAnsi"/>
          <w:b/>
          <w:sz w:val="22"/>
          <w:szCs w:val="22"/>
        </w:rPr>
        <w:t>azionali di rendicontazione (91</w:t>
      </w:r>
      <w:r w:rsidR="0093403F" w:rsidRPr="00E42CDF">
        <w:rPr>
          <w:rFonts w:asciiTheme="minorHAnsi" w:hAnsiTheme="minorHAnsi" w:cstheme="minorHAnsi"/>
          <w:b/>
          <w:sz w:val="22"/>
          <w:szCs w:val="22"/>
        </w:rPr>
        <w:t>%),</w:t>
      </w:r>
      <w:r w:rsidR="0093403F" w:rsidRPr="00E42CDF">
        <w:rPr>
          <w:rFonts w:asciiTheme="minorHAnsi" w:hAnsiTheme="minorHAnsi" w:cstheme="minorHAnsi"/>
          <w:sz w:val="22"/>
          <w:szCs w:val="22"/>
        </w:rPr>
        <w:t xml:space="preserve"> e dalla </w:t>
      </w:r>
      <w:r w:rsidR="0093403F" w:rsidRPr="00E42CDF">
        <w:rPr>
          <w:rFonts w:asciiTheme="minorHAnsi" w:hAnsiTheme="minorHAnsi" w:cstheme="minorHAnsi"/>
          <w:b/>
          <w:sz w:val="22"/>
          <w:szCs w:val="22"/>
        </w:rPr>
        <w:t xml:space="preserve">frequente approvazione dello </w:t>
      </w:r>
      <w:r w:rsidR="00F73443" w:rsidRPr="00E42CDF">
        <w:rPr>
          <w:rFonts w:asciiTheme="minorHAnsi" w:hAnsiTheme="minorHAnsi" w:cstheme="minorHAnsi"/>
          <w:b/>
          <w:sz w:val="22"/>
          <w:szCs w:val="22"/>
        </w:rPr>
        <w:t>stesso da parte del C.d.A. (85</w:t>
      </w:r>
      <w:r w:rsidR="0093403F" w:rsidRPr="00E42CDF">
        <w:rPr>
          <w:rFonts w:asciiTheme="minorHAnsi" w:hAnsiTheme="minorHAnsi" w:cstheme="minorHAnsi"/>
          <w:b/>
          <w:sz w:val="22"/>
          <w:szCs w:val="22"/>
        </w:rPr>
        <w:t>%)</w:t>
      </w:r>
      <w:r w:rsidR="0093403F" w:rsidRPr="00E42CDF">
        <w:rPr>
          <w:rFonts w:asciiTheme="minorHAnsi" w:hAnsiTheme="minorHAnsi" w:cstheme="minorHAnsi"/>
          <w:sz w:val="22"/>
          <w:szCs w:val="22"/>
        </w:rPr>
        <w:t xml:space="preserve">, nonostante non sia </w:t>
      </w:r>
      <w:r w:rsidR="00337A0A" w:rsidRPr="00E42CDF">
        <w:rPr>
          <w:rFonts w:asciiTheme="minorHAnsi" w:hAnsiTheme="minorHAnsi" w:cstheme="minorHAnsi"/>
          <w:sz w:val="22"/>
          <w:szCs w:val="22"/>
        </w:rPr>
        <w:t xml:space="preserve">stata, finora, </w:t>
      </w:r>
      <w:r w:rsidR="0093403F" w:rsidRPr="00E42CDF">
        <w:rPr>
          <w:rFonts w:asciiTheme="minorHAnsi" w:hAnsiTheme="minorHAnsi" w:cstheme="minorHAnsi"/>
          <w:sz w:val="22"/>
          <w:szCs w:val="22"/>
        </w:rPr>
        <w:t xml:space="preserve">obbligatoria. </w:t>
      </w:r>
    </w:p>
    <w:p w:rsidR="0093403F" w:rsidRPr="00E42CDF" w:rsidRDefault="00585DCB" w:rsidP="00585DCB">
      <w:pPr>
        <w:pStyle w:val="ElencoPuntatoTabella"/>
        <w:numPr>
          <w:ilvl w:val="0"/>
          <w:numId w:val="0"/>
        </w:numPr>
        <w:rPr>
          <w:rFonts w:asciiTheme="minorHAnsi" w:hAnsiTheme="minorHAnsi" w:cstheme="minorHAnsi"/>
          <w:b/>
          <w:sz w:val="22"/>
          <w:szCs w:val="22"/>
        </w:rPr>
      </w:pPr>
      <w:r w:rsidRPr="00E42CDF">
        <w:rPr>
          <w:rFonts w:asciiTheme="minorHAnsi" w:hAnsiTheme="minorHAnsi" w:cstheme="minorHAnsi"/>
          <w:sz w:val="22"/>
          <w:szCs w:val="22"/>
        </w:rPr>
        <w:t>Infine</w:t>
      </w:r>
      <w:r w:rsidR="0093403F" w:rsidRPr="00E42CDF">
        <w:rPr>
          <w:rFonts w:asciiTheme="minorHAnsi" w:hAnsiTheme="minorHAnsi" w:cstheme="minorHAnsi"/>
          <w:sz w:val="22"/>
          <w:szCs w:val="22"/>
        </w:rPr>
        <w:t xml:space="preserve">, negli ultimi anni si è verificata una crescita nell’uso del sito web: nel FTSE MIB quasi l’80% delle imprese ha dedicato una sezione </w:t>
      </w:r>
      <w:r w:rsidR="0093403F" w:rsidRPr="00E42CDF">
        <w:rPr>
          <w:rFonts w:asciiTheme="minorHAnsi" w:hAnsiTheme="minorHAnsi" w:cstheme="minorHAnsi"/>
          <w:i/>
          <w:sz w:val="22"/>
          <w:szCs w:val="22"/>
        </w:rPr>
        <w:t>ad hoc</w:t>
      </w:r>
      <w:r w:rsidR="0093403F" w:rsidRPr="00E42CDF">
        <w:rPr>
          <w:rFonts w:asciiTheme="minorHAnsi" w:hAnsiTheme="minorHAnsi" w:cstheme="minorHAnsi"/>
          <w:sz w:val="22"/>
          <w:szCs w:val="22"/>
        </w:rPr>
        <w:t xml:space="preserve"> del proprio sito web per presentare le strategie, gli obiettivi e le iniziative legate alla Sostenibilità</w:t>
      </w:r>
      <w:r w:rsidR="00BE263E" w:rsidRPr="00E42CDF">
        <w:rPr>
          <w:rFonts w:asciiTheme="minorHAnsi" w:hAnsiTheme="minorHAnsi" w:cstheme="minorHAnsi"/>
          <w:sz w:val="22"/>
          <w:szCs w:val="22"/>
        </w:rPr>
        <w:t>, a dimostrazione del fatto che i</w:t>
      </w:r>
      <w:r w:rsidR="0093403F" w:rsidRPr="00E42CDF">
        <w:rPr>
          <w:rFonts w:asciiTheme="minorHAnsi" w:hAnsiTheme="minorHAnsi" w:cstheme="minorHAnsi"/>
          <w:sz w:val="22"/>
          <w:szCs w:val="22"/>
        </w:rPr>
        <w:t xml:space="preserve">l contatto diretto con gli </w:t>
      </w:r>
      <w:r w:rsidR="0093403F" w:rsidRPr="00E42CDF">
        <w:rPr>
          <w:rFonts w:asciiTheme="minorHAnsi" w:hAnsiTheme="minorHAnsi" w:cstheme="minorHAnsi"/>
          <w:i/>
          <w:sz w:val="22"/>
          <w:szCs w:val="22"/>
        </w:rPr>
        <w:t>stakeholder</w:t>
      </w:r>
      <w:r w:rsidR="0093403F" w:rsidRPr="00E42CDF">
        <w:rPr>
          <w:rFonts w:asciiTheme="minorHAnsi" w:hAnsiTheme="minorHAnsi" w:cstheme="minorHAnsi"/>
          <w:sz w:val="22"/>
          <w:szCs w:val="22"/>
        </w:rPr>
        <w:t xml:space="preserve"> si configura sempre più come elemento fondante per valorizzare l’impegno messo in atto.</w:t>
      </w:r>
    </w:p>
    <w:p w:rsidR="00585DCB" w:rsidRPr="00E42CDF" w:rsidRDefault="00585DCB" w:rsidP="00AC3404">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b/>
          <w:sz w:val="20"/>
          <w:szCs w:val="20"/>
        </w:rPr>
      </w:pPr>
      <w:r w:rsidRPr="00E42CDF">
        <w:rPr>
          <w:rFonts w:asciiTheme="minorHAnsi" w:hAnsiTheme="minorHAnsi" w:cstheme="minorHAnsi"/>
          <w:b/>
          <w:sz w:val="20"/>
          <w:szCs w:val="20"/>
        </w:rPr>
        <w:t>C.d.A. E POLITICHE DI SOSTENIBILITÀ – II ed. Rapporto 2017</w:t>
      </w:r>
    </w:p>
    <w:p w:rsidR="00585DCB" w:rsidRPr="00E42CDF" w:rsidRDefault="00585DCB" w:rsidP="00AC3404">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b/>
          <w:sz w:val="20"/>
          <w:szCs w:val="20"/>
        </w:rPr>
      </w:pPr>
    </w:p>
    <w:p w:rsidR="00585DCB" w:rsidRPr="00E42CDF" w:rsidRDefault="00585DCB" w:rsidP="00AC3404">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b/>
          <w:sz w:val="20"/>
          <w:szCs w:val="22"/>
        </w:rPr>
      </w:pPr>
      <w:r w:rsidRPr="00E42CDF">
        <w:rPr>
          <w:rFonts w:asciiTheme="minorHAnsi" w:hAnsiTheme="minorHAnsi" w:cstheme="minorHAnsi"/>
          <w:sz w:val="20"/>
          <w:szCs w:val="22"/>
        </w:rPr>
        <w:t xml:space="preserve">Condotta dal </w:t>
      </w:r>
      <w:r w:rsidRPr="00E42CDF">
        <w:rPr>
          <w:rFonts w:asciiTheme="minorHAnsi" w:hAnsiTheme="minorHAnsi" w:cstheme="minorHAnsi"/>
          <w:b/>
          <w:sz w:val="20"/>
          <w:szCs w:val="22"/>
        </w:rPr>
        <w:t>CSR Manager Network</w:t>
      </w:r>
      <w:r w:rsidRPr="00E42CDF">
        <w:rPr>
          <w:rFonts w:asciiTheme="minorHAnsi" w:hAnsiTheme="minorHAnsi" w:cstheme="minorHAnsi"/>
          <w:sz w:val="20"/>
          <w:szCs w:val="22"/>
        </w:rPr>
        <w:t xml:space="preserve"> con la collaborazione di </w:t>
      </w:r>
      <w:r w:rsidRPr="00E42CDF">
        <w:rPr>
          <w:rFonts w:asciiTheme="minorHAnsi" w:hAnsiTheme="minorHAnsi" w:cstheme="minorHAnsi"/>
          <w:b/>
          <w:sz w:val="20"/>
          <w:szCs w:val="22"/>
        </w:rPr>
        <w:t>Assonime</w:t>
      </w:r>
      <w:r w:rsidRPr="00E42CDF">
        <w:rPr>
          <w:rFonts w:asciiTheme="minorHAnsi" w:hAnsiTheme="minorHAnsi" w:cstheme="minorHAnsi"/>
          <w:sz w:val="20"/>
          <w:szCs w:val="22"/>
        </w:rPr>
        <w:t xml:space="preserve">, l’apporto scientifico di </w:t>
      </w:r>
      <w:r w:rsidRPr="00E42CDF">
        <w:rPr>
          <w:rFonts w:asciiTheme="minorHAnsi" w:hAnsiTheme="minorHAnsi" w:cstheme="minorHAnsi"/>
          <w:b/>
          <w:sz w:val="20"/>
          <w:szCs w:val="22"/>
        </w:rPr>
        <w:t>ALTIS</w:t>
      </w:r>
      <w:r w:rsidRPr="00E42CDF">
        <w:rPr>
          <w:rFonts w:asciiTheme="minorHAnsi" w:hAnsiTheme="minorHAnsi" w:cstheme="minorHAnsi"/>
          <w:sz w:val="20"/>
          <w:szCs w:val="22"/>
        </w:rPr>
        <w:t xml:space="preserve"> e grazie al contributo di </w:t>
      </w:r>
      <w:r w:rsidRPr="00E42CDF">
        <w:rPr>
          <w:rFonts w:asciiTheme="minorHAnsi" w:hAnsiTheme="minorHAnsi" w:cstheme="minorHAnsi"/>
          <w:b/>
          <w:sz w:val="20"/>
          <w:szCs w:val="22"/>
        </w:rPr>
        <w:t>Enel, Assicurazioni Generali, Costa Crociere, Gruppo Hera, KPMG</w:t>
      </w:r>
      <w:r w:rsidRPr="00E42CDF">
        <w:rPr>
          <w:rFonts w:asciiTheme="minorHAnsi" w:hAnsiTheme="minorHAnsi" w:cstheme="minorHAnsi"/>
          <w:sz w:val="20"/>
          <w:szCs w:val="22"/>
        </w:rPr>
        <w:t xml:space="preserve"> e </w:t>
      </w:r>
      <w:r w:rsidRPr="00E42CDF">
        <w:rPr>
          <w:rFonts w:asciiTheme="minorHAnsi" w:hAnsiTheme="minorHAnsi" w:cstheme="minorHAnsi"/>
          <w:b/>
          <w:sz w:val="20"/>
          <w:szCs w:val="22"/>
        </w:rPr>
        <w:t>Terna</w:t>
      </w:r>
    </w:p>
    <w:p w:rsidR="00916F58" w:rsidRPr="00E42CDF" w:rsidRDefault="00916F58" w:rsidP="00AC3404">
      <w:pPr>
        <w:pBdr>
          <w:top w:val="single" w:sz="4" w:space="1" w:color="auto"/>
          <w:left w:val="single" w:sz="4" w:space="4" w:color="auto"/>
          <w:bottom w:val="single" w:sz="4" w:space="1" w:color="auto"/>
          <w:right w:val="single" w:sz="4" w:space="4" w:color="auto"/>
        </w:pBdr>
        <w:spacing w:after="120" w:line="240" w:lineRule="auto"/>
        <w:jc w:val="both"/>
        <w:rPr>
          <w:rFonts w:cstheme="minorHAnsi"/>
          <w:sz w:val="20"/>
          <w:szCs w:val="20"/>
        </w:rPr>
      </w:pPr>
      <w:r w:rsidRPr="00E42CDF">
        <w:rPr>
          <w:rFonts w:cstheme="minorHAnsi"/>
          <w:sz w:val="20"/>
          <w:szCs w:val="20"/>
        </w:rPr>
        <w:t>In continuità con la prima edizione, la ricerca si è focalizzata sulle principali imprese quotate italiane, analizzandone l’approccio alla sostenibilità e le relative strutture di governance. È stato così possibile abbracciare l’arco incluso tra il 2013 e il 2017 ottenendo un quadro evolutivo, tanto che i risultati della ricerca offrono una visione d’insieme dei percorsi di sviluppo compiuti dalle principali imprese italiane, confrontati anche con quelli seguiti all’estero</w:t>
      </w:r>
    </w:p>
    <w:p w:rsidR="00916F58" w:rsidRPr="00E42CDF" w:rsidRDefault="00585DCB" w:rsidP="00AC3404">
      <w:pPr>
        <w:pStyle w:val="Testo"/>
        <w:pBdr>
          <w:top w:val="single" w:sz="4" w:space="1" w:color="auto"/>
          <w:left w:val="single" w:sz="4" w:space="4" w:color="auto"/>
          <w:bottom w:val="single" w:sz="4" w:space="1" w:color="auto"/>
          <w:right w:val="single" w:sz="4" w:space="4" w:color="auto"/>
        </w:pBdr>
        <w:spacing w:line="240" w:lineRule="auto"/>
        <w:rPr>
          <w:rFonts w:cstheme="minorHAnsi"/>
          <w:lang w:val="it-IT"/>
        </w:rPr>
      </w:pPr>
      <w:r w:rsidRPr="00E42CDF">
        <w:rPr>
          <w:rFonts w:cstheme="minorHAnsi"/>
          <w:lang w:val="it-IT"/>
        </w:rPr>
        <w:t>Questa</w:t>
      </w:r>
      <w:r w:rsidR="00916F58" w:rsidRPr="00E42CDF">
        <w:rPr>
          <w:rFonts w:cstheme="minorHAnsi"/>
          <w:lang w:val="it-IT"/>
        </w:rPr>
        <w:t xml:space="preserve"> seconda edizione ha avuto come obiettivi primari la realizzazione di una </w:t>
      </w:r>
      <w:r w:rsidR="00916F58" w:rsidRPr="00E42CDF">
        <w:rPr>
          <w:rFonts w:cstheme="minorHAnsi"/>
          <w:i/>
          <w:lang w:val="it-IT"/>
        </w:rPr>
        <w:t xml:space="preserve">survey </w:t>
      </w:r>
      <w:r w:rsidR="00916F58" w:rsidRPr="00E42CDF">
        <w:rPr>
          <w:rFonts w:cstheme="minorHAnsi"/>
          <w:lang w:val="it-IT"/>
        </w:rPr>
        <w:t xml:space="preserve">atta a rilevare il punto di vista delle imprese in merito alle attività del C.d.A., e l’analisi dei documenti aziendali rilevanti in materia (pubblicati negli ultimi quattro anni. </w:t>
      </w:r>
    </w:p>
    <w:p w:rsidR="00916F58" w:rsidRPr="00E42CDF" w:rsidRDefault="00916F58" w:rsidP="00AC3404">
      <w:pPr>
        <w:pStyle w:val="Testo"/>
        <w:pBdr>
          <w:top w:val="single" w:sz="4" w:space="1" w:color="auto"/>
          <w:left w:val="single" w:sz="4" w:space="4" w:color="auto"/>
          <w:bottom w:val="single" w:sz="4" w:space="1" w:color="auto"/>
          <w:right w:val="single" w:sz="4" w:space="4" w:color="auto"/>
        </w:pBdr>
        <w:spacing w:line="240" w:lineRule="auto"/>
        <w:rPr>
          <w:rFonts w:cstheme="minorHAnsi"/>
          <w:lang w:val="it-IT"/>
        </w:rPr>
      </w:pPr>
      <w:r w:rsidRPr="00E42CDF">
        <w:rPr>
          <w:rFonts w:cstheme="minorHAnsi"/>
          <w:lang w:val="it-IT"/>
        </w:rPr>
        <w:t xml:space="preserve">Il lavoro è stato realizzato prendendo spunto da un’analoga ricerca realizzata nel 2012 dal Doughty Centre for Corporate Responsibility della Cranfield University (UK), un polo di eccellenza in tema di CSR in Europa. Ciò ha consentito di affiancare alla ricognizione sulle imprese italiane un’analisi comparata con la realtà delle prime 100 imprese quotate nel Regno Unito. </w:t>
      </w:r>
    </w:p>
    <w:p w:rsidR="00640FED" w:rsidRPr="00E42CDF" w:rsidRDefault="00640FED" w:rsidP="00916F58">
      <w:pPr>
        <w:pStyle w:val="Testo"/>
        <w:rPr>
          <w:rFonts w:asciiTheme="majorHAnsi" w:hAnsiTheme="majorHAnsi"/>
          <w:sz w:val="12"/>
          <w:lang w:val="it-IT"/>
        </w:rPr>
      </w:pPr>
    </w:p>
    <w:p w:rsidR="00AC3404" w:rsidRPr="00E42CDF" w:rsidRDefault="00AC3404" w:rsidP="00F22446">
      <w:pPr>
        <w:spacing w:after="0" w:line="240" w:lineRule="auto"/>
        <w:rPr>
          <w:rFonts w:eastAsia="Calibri" w:cstheme="minorHAnsi"/>
          <w:b/>
          <w:bCs/>
          <w:i/>
          <w:iCs/>
          <w:sz w:val="20"/>
          <w:szCs w:val="20"/>
        </w:rPr>
      </w:pPr>
    </w:p>
    <w:p w:rsidR="00F22446" w:rsidRPr="00E42CDF" w:rsidRDefault="003B1BBE" w:rsidP="00F22446">
      <w:pPr>
        <w:spacing w:after="0" w:line="240" w:lineRule="auto"/>
        <w:rPr>
          <w:rFonts w:cstheme="minorHAnsi"/>
          <w:b/>
          <w:bCs/>
          <w:i/>
          <w:sz w:val="20"/>
          <w:szCs w:val="20"/>
        </w:rPr>
      </w:pPr>
      <w:r w:rsidRPr="00E42CDF">
        <w:rPr>
          <w:rFonts w:eastAsia="Calibri" w:cstheme="minorHAnsi"/>
          <w:b/>
          <w:bCs/>
          <w:i/>
          <w:iCs/>
          <w:sz w:val="20"/>
          <w:szCs w:val="20"/>
        </w:rPr>
        <w:t>CSR Manager Network</w:t>
      </w:r>
      <w:r w:rsidRPr="00E42CDF">
        <w:rPr>
          <w:rFonts w:eastAsia="Calibri" w:cstheme="minorHAnsi"/>
          <w:i/>
          <w:iCs/>
          <w:sz w:val="20"/>
          <w:szCs w:val="20"/>
        </w:rPr>
        <w:t xml:space="preserve"> è l’associazione che dal 2006 riunisce professionisti e manager che si dedicano alla definizione e alla realizzazione delle strategie e dei progetti socio-ambientali e di sostenibilità nelle imprese e in altre organizzazioni. Opera per promuovere la professionalità dei responsabili aziendali della CSR e per diffondere la cultura della sostenibilità, concepita come uno strumento di competitività delle aziende e di sviluppo del paese. Promuove attività di ricerca sui temi della sostenibilità e delle professione di CSR Manager, secondo gli indirizzi espressi al proprio Comitato Scientifico e con la collaborazione di ALTIS – Alta scuola impresa e società dell’Università Cattolica del Sacro Cuore.</w:t>
      </w:r>
      <w:r w:rsidR="00F22446" w:rsidRPr="00E42CDF">
        <w:rPr>
          <w:rFonts w:eastAsia="Calibri" w:cstheme="minorHAnsi"/>
          <w:i/>
          <w:iCs/>
          <w:sz w:val="20"/>
          <w:szCs w:val="20"/>
        </w:rPr>
        <w:t xml:space="preserve"> </w:t>
      </w:r>
      <w:r w:rsidRPr="00E42CDF">
        <w:rPr>
          <w:rFonts w:eastAsia="Calibri" w:cstheme="minorHAnsi"/>
          <w:i/>
          <w:iCs/>
          <w:sz w:val="20"/>
          <w:szCs w:val="20"/>
        </w:rPr>
        <w:t xml:space="preserve">Nel 2016 è diventato partner e rappresentante dell’Italia nel </w:t>
      </w:r>
      <w:hyperlink r:id="rId10" w:history="1">
        <w:r w:rsidRPr="00E42CDF">
          <w:rPr>
            <w:rFonts w:eastAsia="Calibri" w:cstheme="minorHAnsi"/>
            <w:i/>
            <w:iCs/>
            <w:color w:val="0563C1"/>
            <w:sz w:val="20"/>
            <w:szCs w:val="20"/>
            <w:u w:val="single"/>
          </w:rPr>
          <w:t>Global Network</w:t>
        </w:r>
      </w:hyperlink>
      <w:r w:rsidRPr="00E42CDF">
        <w:rPr>
          <w:rFonts w:eastAsia="Calibri" w:cstheme="minorHAnsi"/>
          <w:i/>
          <w:iCs/>
          <w:color w:val="0563C1"/>
          <w:sz w:val="20"/>
          <w:szCs w:val="20"/>
          <w:u w:val="single"/>
        </w:rPr>
        <w:t xml:space="preserve"> </w:t>
      </w:r>
      <w:r w:rsidRPr="00E42CDF">
        <w:rPr>
          <w:rFonts w:eastAsia="Calibri" w:cstheme="minorHAnsi"/>
          <w:i/>
          <w:iCs/>
          <w:sz w:val="20"/>
          <w:szCs w:val="20"/>
        </w:rPr>
        <w:t xml:space="preserve">del </w:t>
      </w:r>
      <w:hyperlink r:id="rId11" w:history="1">
        <w:r w:rsidRPr="00E42CDF">
          <w:rPr>
            <w:rFonts w:eastAsia="Calibri" w:cstheme="minorHAnsi"/>
            <w:i/>
            <w:iCs/>
            <w:color w:val="0563C1"/>
            <w:sz w:val="20"/>
            <w:szCs w:val="20"/>
            <w:u w:val="single"/>
          </w:rPr>
          <w:t>World Business Council for Sustainable Development</w:t>
        </w:r>
      </w:hyperlink>
      <w:r w:rsidRPr="00E42CDF">
        <w:rPr>
          <w:rFonts w:eastAsia="Calibri" w:cstheme="minorHAnsi"/>
          <w:i/>
          <w:iCs/>
          <w:sz w:val="20"/>
          <w:szCs w:val="20"/>
        </w:rPr>
        <w:t xml:space="preserve"> (WBCSD) e ha promosso e lanciato la</w:t>
      </w:r>
      <w:r w:rsidRPr="00E42CDF">
        <w:rPr>
          <w:rFonts w:eastAsia="Calibri" w:cstheme="minorHAnsi"/>
          <w:b/>
          <w:bCs/>
          <w:i/>
          <w:iCs/>
          <w:sz w:val="20"/>
          <w:szCs w:val="20"/>
        </w:rPr>
        <w:t xml:space="preserve"> </w:t>
      </w:r>
      <w:proofErr w:type="spellStart"/>
      <w:r w:rsidRPr="00E42CDF">
        <w:rPr>
          <w:rFonts w:eastAsia="Calibri" w:cstheme="minorHAnsi"/>
          <w:b/>
          <w:bCs/>
          <w:i/>
          <w:iCs/>
          <w:sz w:val="20"/>
          <w:szCs w:val="20"/>
        </w:rPr>
        <w:t>European</w:t>
      </w:r>
      <w:proofErr w:type="spellEnd"/>
      <w:r w:rsidRPr="00E42CDF">
        <w:rPr>
          <w:rFonts w:eastAsia="Calibri" w:cstheme="minorHAnsi"/>
          <w:b/>
          <w:bCs/>
          <w:i/>
          <w:iCs/>
          <w:sz w:val="20"/>
          <w:szCs w:val="20"/>
        </w:rPr>
        <w:t xml:space="preserve"> </w:t>
      </w:r>
      <w:proofErr w:type="spellStart"/>
      <w:r w:rsidRPr="00E42CDF">
        <w:rPr>
          <w:rFonts w:eastAsia="Calibri" w:cstheme="minorHAnsi"/>
          <w:b/>
          <w:bCs/>
          <w:i/>
          <w:iCs/>
          <w:sz w:val="20"/>
          <w:szCs w:val="20"/>
        </w:rPr>
        <w:t>Association</w:t>
      </w:r>
      <w:proofErr w:type="spellEnd"/>
      <w:r w:rsidRPr="00E42CDF">
        <w:rPr>
          <w:rFonts w:eastAsia="Calibri" w:cstheme="minorHAnsi"/>
          <w:b/>
          <w:bCs/>
          <w:i/>
          <w:iCs/>
          <w:sz w:val="20"/>
          <w:szCs w:val="20"/>
        </w:rPr>
        <w:t xml:space="preserve"> of </w:t>
      </w:r>
      <w:proofErr w:type="spellStart"/>
      <w:r w:rsidRPr="00E42CDF">
        <w:rPr>
          <w:rFonts w:eastAsia="Calibri" w:cstheme="minorHAnsi"/>
          <w:b/>
          <w:bCs/>
          <w:i/>
          <w:iCs/>
          <w:sz w:val="20"/>
          <w:szCs w:val="20"/>
        </w:rPr>
        <w:t>Sustainability</w:t>
      </w:r>
      <w:proofErr w:type="spellEnd"/>
      <w:r w:rsidRPr="00E42CDF">
        <w:rPr>
          <w:rFonts w:eastAsia="Calibri" w:cstheme="minorHAnsi"/>
          <w:b/>
          <w:bCs/>
          <w:i/>
          <w:iCs/>
          <w:sz w:val="20"/>
          <w:szCs w:val="20"/>
        </w:rPr>
        <w:t xml:space="preserve"> </w:t>
      </w:r>
      <w:proofErr w:type="spellStart"/>
      <w:r w:rsidRPr="00E42CDF">
        <w:rPr>
          <w:rFonts w:eastAsia="Calibri" w:cstheme="minorHAnsi"/>
          <w:b/>
          <w:bCs/>
          <w:i/>
          <w:iCs/>
          <w:sz w:val="20"/>
          <w:szCs w:val="20"/>
        </w:rPr>
        <w:t>Professionals</w:t>
      </w:r>
      <w:proofErr w:type="spellEnd"/>
      <w:r w:rsidRPr="00E42CDF">
        <w:rPr>
          <w:rFonts w:eastAsia="Calibri" w:cstheme="minorHAnsi"/>
          <w:b/>
          <w:bCs/>
          <w:i/>
          <w:iCs/>
          <w:sz w:val="20"/>
          <w:szCs w:val="20"/>
        </w:rPr>
        <w:t xml:space="preserve"> (EASP),</w:t>
      </w:r>
      <w:r w:rsidRPr="00E42CDF">
        <w:rPr>
          <w:rFonts w:eastAsia="Calibri" w:cstheme="minorHAnsi"/>
          <w:i/>
          <w:iCs/>
          <w:color w:val="FF0000"/>
          <w:sz w:val="20"/>
          <w:szCs w:val="20"/>
        </w:rPr>
        <w:t xml:space="preserve"> </w:t>
      </w:r>
      <w:r w:rsidRPr="00E42CDF">
        <w:rPr>
          <w:rFonts w:eastAsia="Calibri" w:cstheme="minorHAnsi"/>
          <w:i/>
          <w:iCs/>
          <w:sz w:val="20"/>
          <w:szCs w:val="20"/>
        </w:rPr>
        <w:t>un nuovo network che riunisce le maggiori organizzazioni europee che rappresentano i professionisti della CSR</w:t>
      </w:r>
      <w:r w:rsidR="00196CA3" w:rsidRPr="00E42CDF">
        <w:rPr>
          <w:rFonts w:cstheme="minorHAnsi"/>
          <w:b/>
          <w:bCs/>
          <w:i/>
          <w:sz w:val="20"/>
          <w:szCs w:val="20"/>
        </w:rPr>
        <w:t>.</w:t>
      </w:r>
    </w:p>
    <w:p w:rsidR="00F22446" w:rsidRPr="00E42CDF" w:rsidRDefault="00F22446" w:rsidP="00F22446">
      <w:pPr>
        <w:rPr>
          <w:rFonts w:cs="Arial"/>
          <w:b/>
          <w:sz w:val="2"/>
        </w:rPr>
      </w:pPr>
    </w:p>
    <w:p w:rsidR="00FE13AF" w:rsidRPr="0012639C" w:rsidRDefault="00E52D86" w:rsidP="00F22446">
      <w:r w:rsidRPr="00E42CDF">
        <w:rPr>
          <w:rFonts w:cs="Arial"/>
          <w:b/>
          <w:sz w:val="20"/>
        </w:rPr>
        <w:t>Responsabile comunicazione</w:t>
      </w:r>
      <w:r w:rsidR="00FE13AF" w:rsidRPr="00E42CDF">
        <w:rPr>
          <w:rFonts w:cs="Arial"/>
          <w:b/>
          <w:sz w:val="20"/>
        </w:rPr>
        <w:t xml:space="preserve">: </w:t>
      </w:r>
      <w:r w:rsidR="00FE13AF" w:rsidRPr="00E42CDF">
        <w:rPr>
          <w:iCs/>
          <w:sz w:val="20"/>
          <w:lang w:eastAsia="it-IT"/>
        </w:rPr>
        <w:t>Laura Poggio | +39 340 5505096 |</w:t>
      </w:r>
      <w:r w:rsidR="00FE13AF" w:rsidRPr="00E42CDF">
        <w:rPr>
          <w:i/>
          <w:iCs/>
          <w:sz w:val="20"/>
          <w:lang w:eastAsia="it-IT"/>
        </w:rPr>
        <w:t xml:space="preserve"> </w:t>
      </w:r>
      <w:hyperlink r:id="rId12" w:history="1">
        <w:r w:rsidR="00FE13AF" w:rsidRPr="00E42CDF">
          <w:rPr>
            <w:rStyle w:val="Collegamentoipertestuale"/>
            <w:iCs/>
            <w:color w:val="5B9BD5"/>
            <w:sz w:val="20"/>
            <w:lang w:eastAsia="it-IT"/>
          </w:rPr>
          <w:t>laura.poggio@csrmanagernetwork.it</w:t>
        </w:r>
      </w:hyperlink>
      <w:r w:rsidR="00F22446" w:rsidRPr="00E42CDF">
        <w:rPr>
          <w:rStyle w:val="Collegamentoipertestuale"/>
          <w:iCs/>
          <w:color w:val="5B9BD5"/>
          <w:sz w:val="20"/>
          <w:lang w:eastAsia="it-IT"/>
        </w:rPr>
        <w:t xml:space="preserve"> | </w:t>
      </w:r>
      <w:hyperlink r:id="rId13" w:history="1">
        <w:r w:rsidR="00F22446" w:rsidRPr="00E42CDF">
          <w:rPr>
            <w:rStyle w:val="Collegamentoipertestuale"/>
            <w:rFonts w:cs="Arial"/>
            <w:b/>
            <w:sz w:val="20"/>
          </w:rPr>
          <w:t>www.csrmanagernetwork.it</w:t>
        </w:r>
      </w:hyperlink>
    </w:p>
    <w:sectPr w:rsidR="00FE13AF" w:rsidRPr="0012639C" w:rsidSect="0012639C">
      <w:headerReference w:type="default" r:id="rId14"/>
      <w:pgSz w:w="11906" w:h="16838"/>
      <w:pgMar w:top="1417" w:right="1134" w:bottom="1134" w:left="1134" w:header="0" w:footer="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61CB" w:rsidRDefault="00AC61CB" w:rsidP="0012639C">
      <w:pPr>
        <w:spacing w:after="0" w:line="240" w:lineRule="auto"/>
      </w:pPr>
      <w:r>
        <w:separator/>
      </w:r>
    </w:p>
  </w:endnote>
  <w:endnote w:type="continuationSeparator" w:id="0">
    <w:p w:rsidR="00AC61CB" w:rsidRDefault="00AC61CB" w:rsidP="00126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Gotham-Bold">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61CB" w:rsidRDefault="00AC61CB" w:rsidP="0012639C">
      <w:pPr>
        <w:spacing w:after="0" w:line="240" w:lineRule="auto"/>
      </w:pPr>
      <w:r>
        <w:separator/>
      </w:r>
    </w:p>
  </w:footnote>
  <w:footnote w:type="continuationSeparator" w:id="0">
    <w:p w:rsidR="00AC61CB" w:rsidRDefault="00AC61CB" w:rsidP="001263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22D" w:rsidRDefault="00B6622D">
    <w:pPr>
      <w:pStyle w:val="Intestazione"/>
    </w:pPr>
  </w:p>
  <w:p w:rsidR="005C2A42" w:rsidRDefault="005C2A42">
    <w:pPr>
      <w:pStyle w:val="Intestazione"/>
    </w:pPr>
  </w:p>
  <w:p w:rsidR="005C2A42" w:rsidRDefault="005C2A42" w:rsidP="002B5CF3">
    <w:pPr>
      <w:pStyle w:val="Intestazione"/>
    </w:pPr>
    <w:r w:rsidRPr="00DA1802">
      <w:rPr>
        <w:rFonts w:ascii="Arial" w:hAnsi="Arial" w:cs="Arial"/>
        <w:noProof/>
        <w:color w:val="000000"/>
        <w:sz w:val="21"/>
        <w:szCs w:val="21"/>
        <w:lang w:eastAsia="it-IT"/>
      </w:rPr>
      <w:drawing>
        <wp:inline distT="0" distB="0" distL="0" distR="0" wp14:anchorId="0BC131FE" wp14:editId="0DA79972">
          <wp:extent cx="890251" cy="569085"/>
          <wp:effectExtent l="0" t="0" r="5715" b="2540"/>
          <wp:docPr id="2" name="Immagine 0" descr="CSR Manager Network logo bl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R Manager Network logo blu.jpg"/>
                  <pic:cNvPicPr/>
                </pic:nvPicPr>
                <pic:blipFill>
                  <a:blip r:embed="rId1"/>
                  <a:stretch>
                    <a:fillRect/>
                  </a:stretch>
                </pic:blipFill>
                <pic:spPr>
                  <a:xfrm>
                    <a:off x="0" y="0"/>
                    <a:ext cx="890251" cy="56908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C6316"/>
    <w:multiLevelType w:val="hybridMultilevel"/>
    <w:tmpl w:val="51BAD072"/>
    <w:lvl w:ilvl="0" w:tplc="53A8E092">
      <w:start w:val="1"/>
      <w:numFmt w:val="bullet"/>
      <w:pStyle w:val="Puntoelencointabella"/>
      <w:lvlText w:val="►"/>
      <w:lvlJc w:val="left"/>
      <w:pPr>
        <w:ind w:left="363" w:hanging="360"/>
      </w:pPr>
      <w:rPr>
        <w:rFonts w:ascii="Arial" w:hAnsi="Arial" w:hint="default"/>
        <w:color w:val="44546A" w:themeColor="text2"/>
        <w:sz w:val="20"/>
      </w:rPr>
    </w:lvl>
    <w:lvl w:ilvl="1" w:tplc="04100003" w:tentative="1">
      <w:start w:val="1"/>
      <w:numFmt w:val="bullet"/>
      <w:lvlText w:val="o"/>
      <w:lvlJc w:val="left"/>
      <w:pPr>
        <w:ind w:left="1083" w:hanging="360"/>
      </w:pPr>
      <w:rPr>
        <w:rFonts w:ascii="Courier New" w:hAnsi="Courier New" w:cs="Courier New" w:hint="default"/>
      </w:rPr>
    </w:lvl>
    <w:lvl w:ilvl="2" w:tplc="04100005" w:tentative="1">
      <w:start w:val="1"/>
      <w:numFmt w:val="bullet"/>
      <w:lvlText w:val=""/>
      <w:lvlJc w:val="left"/>
      <w:pPr>
        <w:ind w:left="1803" w:hanging="360"/>
      </w:pPr>
      <w:rPr>
        <w:rFonts w:ascii="Wingdings" w:hAnsi="Wingdings" w:hint="default"/>
      </w:rPr>
    </w:lvl>
    <w:lvl w:ilvl="3" w:tplc="04100001" w:tentative="1">
      <w:start w:val="1"/>
      <w:numFmt w:val="bullet"/>
      <w:lvlText w:val=""/>
      <w:lvlJc w:val="left"/>
      <w:pPr>
        <w:ind w:left="2523" w:hanging="360"/>
      </w:pPr>
      <w:rPr>
        <w:rFonts w:ascii="Symbol" w:hAnsi="Symbol" w:hint="default"/>
      </w:rPr>
    </w:lvl>
    <w:lvl w:ilvl="4" w:tplc="04100003" w:tentative="1">
      <w:start w:val="1"/>
      <w:numFmt w:val="bullet"/>
      <w:lvlText w:val="o"/>
      <w:lvlJc w:val="left"/>
      <w:pPr>
        <w:ind w:left="3243" w:hanging="360"/>
      </w:pPr>
      <w:rPr>
        <w:rFonts w:ascii="Courier New" w:hAnsi="Courier New" w:cs="Courier New" w:hint="default"/>
      </w:rPr>
    </w:lvl>
    <w:lvl w:ilvl="5" w:tplc="04100005" w:tentative="1">
      <w:start w:val="1"/>
      <w:numFmt w:val="bullet"/>
      <w:lvlText w:val=""/>
      <w:lvlJc w:val="left"/>
      <w:pPr>
        <w:ind w:left="3963" w:hanging="360"/>
      </w:pPr>
      <w:rPr>
        <w:rFonts w:ascii="Wingdings" w:hAnsi="Wingdings" w:hint="default"/>
      </w:rPr>
    </w:lvl>
    <w:lvl w:ilvl="6" w:tplc="04100001" w:tentative="1">
      <w:start w:val="1"/>
      <w:numFmt w:val="bullet"/>
      <w:lvlText w:val=""/>
      <w:lvlJc w:val="left"/>
      <w:pPr>
        <w:ind w:left="4683" w:hanging="360"/>
      </w:pPr>
      <w:rPr>
        <w:rFonts w:ascii="Symbol" w:hAnsi="Symbol" w:hint="default"/>
      </w:rPr>
    </w:lvl>
    <w:lvl w:ilvl="7" w:tplc="04100003" w:tentative="1">
      <w:start w:val="1"/>
      <w:numFmt w:val="bullet"/>
      <w:lvlText w:val="o"/>
      <w:lvlJc w:val="left"/>
      <w:pPr>
        <w:ind w:left="5403" w:hanging="360"/>
      </w:pPr>
      <w:rPr>
        <w:rFonts w:ascii="Courier New" w:hAnsi="Courier New" w:cs="Courier New" w:hint="default"/>
      </w:rPr>
    </w:lvl>
    <w:lvl w:ilvl="8" w:tplc="04100005" w:tentative="1">
      <w:start w:val="1"/>
      <w:numFmt w:val="bullet"/>
      <w:lvlText w:val=""/>
      <w:lvlJc w:val="left"/>
      <w:pPr>
        <w:ind w:left="6123" w:hanging="360"/>
      </w:pPr>
      <w:rPr>
        <w:rFonts w:ascii="Wingdings" w:hAnsi="Wingdings" w:hint="default"/>
      </w:rPr>
    </w:lvl>
  </w:abstractNum>
  <w:abstractNum w:abstractNumId="1" w15:restartNumberingAfterBreak="0">
    <w:nsid w:val="593173EB"/>
    <w:multiLevelType w:val="hybridMultilevel"/>
    <w:tmpl w:val="BE266D5E"/>
    <w:lvl w:ilvl="0" w:tplc="5166179C">
      <w:start w:val="1"/>
      <w:numFmt w:val="bullet"/>
      <w:pStyle w:val="ElencoPuntatoTabella"/>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BA8"/>
    <w:rsid w:val="0002264C"/>
    <w:rsid w:val="0006394C"/>
    <w:rsid w:val="000834D3"/>
    <w:rsid w:val="000877C6"/>
    <w:rsid w:val="00095DB0"/>
    <w:rsid w:val="000F5FA3"/>
    <w:rsid w:val="0010237B"/>
    <w:rsid w:val="00102902"/>
    <w:rsid w:val="0012639C"/>
    <w:rsid w:val="001526CB"/>
    <w:rsid w:val="0016424E"/>
    <w:rsid w:val="00170E78"/>
    <w:rsid w:val="00180A2D"/>
    <w:rsid w:val="00196CA3"/>
    <w:rsid w:val="001F5C29"/>
    <w:rsid w:val="002219CD"/>
    <w:rsid w:val="00224514"/>
    <w:rsid w:val="002344D9"/>
    <w:rsid w:val="0027421D"/>
    <w:rsid w:val="002B5CF3"/>
    <w:rsid w:val="002B707B"/>
    <w:rsid w:val="002C3EED"/>
    <w:rsid w:val="003102B7"/>
    <w:rsid w:val="003102F9"/>
    <w:rsid w:val="00337A0A"/>
    <w:rsid w:val="003968B1"/>
    <w:rsid w:val="003B1BBE"/>
    <w:rsid w:val="003C181E"/>
    <w:rsid w:val="003C2757"/>
    <w:rsid w:val="003E3B41"/>
    <w:rsid w:val="004726EA"/>
    <w:rsid w:val="00492493"/>
    <w:rsid w:val="004E0CB5"/>
    <w:rsid w:val="005015F7"/>
    <w:rsid w:val="005641FB"/>
    <w:rsid w:val="00572C74"/>
    <w:rsid w:val="00580983"/>
    <w:rsid w:val="00585DCB"/>
    <w:rsid w:val="00596BA8"/>
    <w:rsid w:val="005C2A42"/>
    <w:rsid w:val="005E346C"/>
    <w:rsid w:val="005F325B"/>
    <w:rsid w:val="00640FED"/>
    <w:rsid w:val="006847C9"/>
    <w:rsid w:val="006A334E"/>
    <w:rsid w:val="006A550C"/>
    <w:rsid w:val="0070490B"/>
    <w:rsid w:val="007D18C2"/>
    <w:rsid w:val="0086237B"/>
    <w:rsid w:val="008A6FD8"/>
    <w:rsid w:val="008A724A"/>
    <w:rsid w:val="00911E76"/>
    <w:rsid w:val="00916F58"/>
    <w:rsid w:val="009209BC"/>
    <w:rsid w:val="00921AC7"/>
    <w:rsid w:val="0093403F"/>
    <w:rsid w:val="00967EE0"/>
    <w:rsid w:val="009C6981"/>
    <w:rsid w:val="00A06C5B"/>
    <w:rsid w:val="00A240FA"/>
    <w:rsid w:val="00A65AD4"/>
    <w:rsid w:val="00AC3404"/>
    <w:rsid w:val="00AC61CB"/>
    <w:rsid w:val="00B06FF1"/>
    <w:rsid w:val="00B266C2"/>
    <w:rsid w:val="00B31CF5"/>
    <w:rsid w:val="00B400F2"/>
    <w:rsid w:val="00B6622D"/>
    <w:rsid w:val="00BA2009"/>
    <w:rsid w:val="00BB3950"/>
    <w:rsid w:val="00BE263E"/>
    <w:rsid w:val="00BE5347"/>
    <w:rsid w:val="00C6459D"/>
    <w:rsid w:val="00C64C53"/>
    <w:rsid w:val="00C77CD7"/>
    <w:rsid w:val="00CD27B1"/>
    <w:rsid w:val="00D1686D"/>
    <w:rsid w:val="00D2172C"/>
    <w:rsid w:val="00D50AC3"/>
    <w:rsid w:val="00E36771"/>
    <w:rsid w:val="00E42CDF"/>
    <w:rsid w:val="00E52D86"/>
    <w:rsid w:val="00E60D68"/>
    <w:rsid w:val="00E91941"/>
    <w:rsid w:val="00EA5DFC"/>
    <w:rsid w:val="00ED7A59"/>
    <w:rsid w:val="00EE6872"/>
    <w:rsid w:val="00F03A35"/>
    <w:rsid w:val="00F04ECD"/>
    <w:rsid w:val="00F20E1E"/>
    <w:rsid w:val="00F2185F"/>
    <w:rsid w:val="00F22446"/>
    <w:rsid w:val="00F73443"/>
    <w:rsid w:val="00FC062C"/>
    <w:rsid w:val="00FE13AF"/>
    <w:rsid w:val="00FF7F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59593C4-65D6-416A-BA97-32BEAE467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2">
    <w:name w:val="heading 2"/>
    <w:basedOn w:val="Normale"/>
    <w:link w:val="Titolo2Carattere"/>
    <w:uiPriority w:val="9"/>
    <w:qFormat/>
    <w:rsid w:val="00E91941"/>
    <w:pPr>
      <w:keepNext/>
      <w:keepLines/>
      <w:spacing w:before="480" w:after="120" w:line="240" w:lineRule="auto"/>
      <w:jc w:val="both"/>
      <w:outlineLvl w:val="1"/>
    </w:pPr>
    <w:rPr>
      <w:rFonts w:ascii="Garamond" w:eastAsiaTheme="minorEastAsia" w:hAnsi="Garamond" w:cs="Times New Roman"/>
      <w:b/>
      <w:bCs/>
      <w:color w:val="44546A" w:themeColor="text2"/>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2639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2639C"/>
  </w:style>
  <w:style w:type="paragraph" w:styleId="Pidipagina">
    <w:name w:val="footer"/>
    <w:basedOn w:val="Normale"/>
    <w:link w:val="PidipaginaCarattere"/>
    <w:uiPriority w:val="99"/>
    <w:unhideWhenUsed/>
    <w:rsid w:val="0012639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2639C"/>
  </w:style>
  <w:style w:type="paragraph" w:customStyle="1" w:styleId="Normale1">
    <w:name w:val="Normale1"/>
    <w:rsid w:val="0012639C"/>
    <w:pPr>
      <w:spacing w:after="0" w:line="276" w:lineRule="auto"/>
    </w:pPr>
    <w:rPr>
      <w:rFonts w:ascii="Arial" w:eastAsia="Arial" w:hAnsi="Arial" w:cs="Arial"/>
      <w:color w:val="000000"/>
      <w:lang w:eastAsia="it-IT"/>
    </w:rPr>
  </w:style>
  <w:style w:type="character" w:styleId="Collegamentoipertestuale">
    <w:name w:val="Hyperlink"/>
    <w:basedOn w:val="Carpredefinitoparagrafo"/>
    <w:uiPriority w:val="99"/>
    <w:unhideWhenUsed/>
    <w:rsid w:val="00FE13AF"/>
    <w:rPr>
      <w:color w:val="0563C1"/>
      <w:u w:val="single"/>
    </w:rPr>
  </w:style>
  <w:style w:type="character" w:styleId="Enfasigrassetto">
    <w:name w:val="Strong"/>
    <w:basedOn w:val="Carpredefinitoparagrafo"/>
    <w:uiPriority w:val="22"/>
    <w:qFormat/>
    <w:rsid w:val="00FE13AF"/>
    <w:rPr>
      <w:b/>
      <w:bCs/>
    </w:rPr>
  </w:style>
  <w:style w:type="paragraph" w:styleId="NormaleWeb">
    <w:name w:val="Normal (Web)"/>
    <w:basedOn w:val="Normale"/>
    <w:uiPriority w:val="99"/>
    <w:unhideWhenUsed/>
    <w:rsid w:val="00FE13A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A65AD4"/>
  </w:style>
  <w:style w:type="paragraph" w:styleId="Sottotitolo">
    <w:name w:val="Subtitle"/>
    <w:basedOn w:val="Normale"/>
    <w:next w:val="Normale"/>
    <w:link w:val="SottotitoloCarattere"/>
    <w:uiPriority w:val="99"/>
    <w:qFormat/>
    <w:rsid w:val="002B5CF3"/>
    <w:pPr>
      <w:numPr>
        <w:ilvl w:val="1"/>
      </w:numPr>
      <w:spacing w:after="0" w:line="240" w:lineRule="auto"/>
      <w:contextualSpacing/>
      <w:jc w:val="center"/>
    </w:pPr>
    <w:rPr>
      <w:rFonts w:asciiTheme="majorHAnsi" w:eastAsiaTheme="majorEastAsia" w:hAnsiTheme="majorHAnsi" w:cstheme="majorHAnsi"/>
      <w:iCs/>
      <w:color w:val="000000" w:themeColor="text1"/>
      <w:spacing w:val="15"/>
      <w:sz w:val="32"/>
      <w:szCs w:val="24"/>
      <w:lang w:eastAsia="it-IT"/>
    </w:rPr>
  </w:style>
  <w:style w:type="character" w:customStyle="1" w:styleId="SottotitoloCarattere">
    <w:name w:val="Sottotitolo Carattere"/>
    <w:basedOn w:val="Carpredefinitoparagrafo"/>
    <w:link w:val="Sottotitolo"/>
    <w:uiPriority w:val="99"/>
    <w:rsid w:val="002B5CF3"/>
    <w:rPr>
      <w:rFonts w:asciiTheme="majorHAnsi" w:eastAsiaTheme="majorEastAsia" w:hAnsiTheme="majorHAnsi" w:cstheme="majorHAnsi"/>
      <w:iCs/>
      <w:color w:val="000000" w:themeColor="text1"/>
      <w:spacing w:val="15"/>
      <w:sz w:val="32"/>
      <w:szCs w:val="24"/>
      <w:lang w:eastAsia="it-IT"/>
    </w:rPr>
  </w:style>
  <w:style w:type="paragraph" w:styleId="Testonormale">
    <w:name w:val="Plain Text"/>
    <w:basedOn w:val="Normale"/>
    <w:link w:val="TestonormaleCarattere"/>
    <w:uiPriority w:val="99"/>
    <w:semiHidden/>
    <w:unhideWhenUsed/>
    <w:rsid w:val="00EA5DFC"/>
    <w:pPr>
      <w:spacing w:before="100" w:beforeAutospacing="1" w:after="100" w:afterAutospacing="1" w:line="240" w:lineRule="auto"/>
    </w:pPr>
    <w:rPr>
      <w:rFonts w:ascii="Times New Roman" w:hAnsi="Times New Roman" w:cs="Times New Roman"/>
      <w:color w:val="000000"/>
      <w:sz w:val="24"/>
      <w:szCs w:val="24"/>
      <w:lang w:eastAsia="it-IT"/>
    </w:rPr>
  </w:style>
  <w:style w:type="character" w:customStyle="1" w:styleId="TestonormaleCarattere">
    <w:name w:val="Testo normale Carattere"/>
    <w:basedOn w:val="Carpredefinitoparagrafo"/>
    <w:link w:val="Testonormale"/>
    <w:uiPriority w:val="99"/>
    <w:semiHidden/>
    <w:rsid w:val="00EA5DFC"/>
    <w:rPr>
      <w:rFonts w:ascii="Times New Roman" w:hAnsi="Times New Roman" w:cs="Times New Roman"/>
      <w:color w:val="000000"/>
      <w:sz w:val="24"/>
      <w:szCs w:val="24"/>
      <w:lang w:eastAsia="it-IT"/>
    </w:rPr>
  </w:style>
  <w:style w:type="paragraph" w:customStyle="1" w:styleId="Default">
    <w:name w:val="Default"/>
    <w:rsid w:val="00EA5DFC"/>
    <w:pPr>
      <w:autoSpaceDE w:val="0"/>
      <w:autoSpaceDN w:val="0"/>
      <w:adjustRightInd w:val="0"/>
      <w:spacing w:after="0" w:line="240" w:lineRule="auto"/>
    </w:pPr>
    <w:rPr>
      <w:rFonts w:ascii="Garamond" w:hAnsi="Garamond" w:cs="Garamond"/>
      <w:color w:val="000000"/>
      <w:sz w:val="24"/>
      <w:szCs w:val="24"/>
    </w:rPr>
  </w:style>
  <w:style w:type="paragraph" w:customStyle="1" w:styleId="Testo">
    <w:name w:val="Testo"/>
    <w:basedOn w:val="Normale"/>
    <w:qFormat/>
    <w:rsid w:val="00916F58"/>
    <w:pPr>
      <w:spacing w:after="0" w:line="276" w:lineRule="auto"/>
      <w:jc w:val="both"/>
    </w:pPr>
    <w:rPr>
      <w:rFonts w:eastAsia="Times New Roman" w:cs="Times New Roman"/>
      <w:kern w:val="32"/>
      <w:sz w:val="20"/>
      <w:szCs w:val="20"/>
      <w:lang w:val="en-GB" w:eastAsia="it-IT"/>
    </w:rPr>
  </w:style>
  <w:style w:type="paragraph" w:customStyle="1" w:styleId="ElencoPuntatoTabella">
    <w:name w:val="ElencoPuntatoTabella"/>
    <w:basedOn w:val="Normale"/>
    <w:link w:val="ElencoPuntatoTabellaCarattere"/>
    <w:qFormat/>
    <w:rsid w:val="00640FED"/>
    <w:pPr>
      <w:numPr>
        <w:numId w:val="1"/>
      </w:numPr>
      <w:spacing w:before="360" w:after="360" w:line="240" w:lineRule="auto"/>
      <w:contextualSpacing/>
      <w:jc w:val="both"/>
    </w:pPr>
    <w:rPr>
      <w:rFonts w:ascii="Garamond" w:eastAsia="Times New Roman" w:hAnsi="Garamond" w:cs="Arial"/>
      <w:sz w:val="20"/>
      <w:szCs w:val="24"/>
      <w:lang w:eastAsia="it-IT"/>
    </w:rPr>
  </w:style>
  <w:style w:type="character" w:customStyle="1" w:styleId="ElencoPuntatoTabellaCarattere">
    <w:name w:val="ElencoPuntatoTabella Carattere"/>
    <w:basedOn w:val="Carpredefinitoparagrafo"/>
    <w:link w:val="ElencoPuntatoTabella"/>
    <w:rsid w:val="00640FED"/>
    <w:rPr>
      <w:rFonts w:ascii="Garamond" w:eastAsia="Times New Roman" w:hAnsi="Garamond" w:cs="Arial"/>
      <w:sz w:val="20"/>
      <w:szCs w:val="24"/>
      <w:lang w:eastAsia="it-IT"/>
    </w:rPr>
  </w:style>
  <w:style w:type="character" w:customStyle="1" w:styleId="Titolo2Carattere">
    <w:name w:val="Titolo 2 Carattere"/>
    <w:basedOn w:val="Carpredefinitoparagrafo"/>
    <w:link w:val="Titolo2"/>
    <w:uiPriority w:val="9"/>
    <w:rsid w:val="00E91941"/>
    <w:rPr>
      <w:rFonts w:ascii="Garamond" w:eastAsiaTheme="minorEastAsia" w:hAnsi="Garamond" w:cs="Times New Roman"/>
      <w:b/>
      <w:bCs/>
      <w:color w:val="44546A" w:themeColor="text2"/>
      <w:lang w:eastAsia="it-IT"/>
    </w:rPr>
  </w:style>
  <w:style w:type="paragraph" w:customStyle="1" w:styleId="Puntoelencointabella">
    <w:name w:val="Punto elenco in tabella"/>
    <w:basedOn w:val="Paragrafoelenco"/>
    <w:qFormat/>
    <w:rsid w:val="00E91941"/>
    <w:pPr>
      <w:numPr>
        <w:numId w:val="2"/>
      </w:numPr>
      <w:tabs>
        <w:tab w:val="right" w:pos="9923"/>
      </w:tabs>
      <w:spacing w:before="240" w:after="240" w:line="240" w:lineRule="auto"/>
      <w:ind w:left="425" w:hanging="425"/>
      <w:jc w:val="both"/>
    </w:pPr>
    <w:rPr>
      <w:rFonts w:ascii="Garamond" w:eastAsiaTheme="minorEastAsia" w:hAnsi="Garamond" w:cs="Times New Roman"/>
      <w:szCs w:val="24"/>
      <w:lang w:eastAsia="it-IT"/>
    </w:rPr>
  </w:style>
  <w:style w:type="paragraph" w:styleId="Paragrafoelenco">
    <w:name w:val="List Paragraph"/>
    <w:basedOn w:val="Normale"/>
    <w:uiPriority w:val="34"/>
    <w:qFormat/>
    <w:rsid w:val="00E91941"/>
    <w:pPr>
      <w:ind w:left="720"/>
      <w:contextualSpacing/>
    </w:pPr>
  </w:style>
  <w:style w:type="paragraph" w:customStyle="1" w:styleId="IntestazioneTabella">
    <w:name w:val="Intestazione Tabella"/>
    <w:basedOn w:val="Normale"/>
    <w:link w:val="IntestazioneTabellaCarattere"/>
    <w:qFormat/>
    <w:rsid w:val="002344D9"/>
    <w:pPr>
      <w:spacing w:after="0" w:line="240" w:lineRule="auto"/>
      <w:contextualSpacing/>
      <w:jc w:val="right"/>
    </w:pPr>
    <w:rPr>
      <w:rFonts w:ascii="Garamond" w:eastAsiaTheme="minorEastAsia" w:hAnsi="Garamond" w:cs="Times New Roman"/>
      <w:b/>
      <w:sz w:val="20"/>
      <w:szCs w:val="24"/>
      <w:lang w:eastAsia="it-IT"/>
    </w:rPr>
  </w:style>
  <w:style w:type="character" w:customStyle="1" w:styleId="IntestazioneTabellaCarattere">
    <w:name w:val="Intestazione Tabella Carattere"/>
    <w:basedOn w:val="Carpredefinitoparagrafo"/>
    <w:link w:val="IntestazioneTabella"/>
    <w:rsid w:val="002344D9"/>
    <w:rPr>
      <w:rFonts w:ascii="Garamond" w:eastAsiaTheme="minorEastAsia" w:hAnsi="Garamond" w:cs="Times New Roman"/>
      <w:b/>
      <w:sz w:val="20"/>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6104660">
      <w:bodyDiv w:val="1"/>
      <w:marLeft w:val="0"/>
      <w:marRight w:val="0"/>
      <w:marTop w:val="0"/>
      <w:marBottom w:val="0"/>
      <w:divBdr>
        <w:top w:val="none" w:sz="0" w:space="0" w:color="auto"/>
        <w:left w:val="none" w:sz="0" w:space="0" w:color="auto"/>
        <w:bottom w:val="none" w:sz="0" w:space="0" w:color="auto"/>
        <w:right w:val="none" w:sz="0" w:space="0" w:color="auto"/>
      </w:divBdr>
    </w:div>
    <w:div w:id="1160122248">
      <w:bodyDiv w:val="1"/>
      <w:marLeft w:val="0"/>
      <w:marRight w:val="0"/>
      <w:marTop w:val="0"/>
      <w:marBottom w:val="0"/>
      <w:divBdr>
        <w:top w:val="none" w:sz="0" w:space="0" w:color="auto"/>
        <w:left w:val="none" w:sz="0" w:space="0" w:color="auto"/>
        <w:bottom w:val="none" w:sz="0" w:space="0" w:color="auto"/>
        <w:right w:val="none" w:sz="0" w:space="0" w:color="auto"/>
      </w:divBdr>
    </w:div>
    <w:div w:id="2069496629">
      <w:bodyDiv w:val="1"/>
      <w:marLeft w:val="0"/>
      <w:marRight w:val="0"/>
      <w:marTop w:val="0"/>
      <w:marBottom w:val="0"/>
      <w:divBdr>
        <w:top w:val="none" w:sz="0" w:space="0" w:color="auto"/>
        <w:left w:val="none" w:sz="0" w:space="0" w:color="auto"/>
        <w:bottom w:val="none" w:sz="0" w:space="0" w:color="auto"/>
        <w:right w:val="none" w:sz="0" w:space="0" w:color="auto"/>
      </w:divBdr>
    </w:div>
    <w:div w:id="212731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sonime.it/Pagine/home.aspx" TargetMode="External"/><Relationship Id="rId13" Type="http://schemas.openxmlformats.org/officeDocument/2006/relationships/hyperlink" Target="http://www.csrmanagernetwork.it" TargetMode="External"/><Relationship Id="rId3" Type="http://schemas.openxmlformats.org/officeDocument/2006/relationships/settings" Target="settings.xml"/><Relationship Id="rId7" Type="http://schemas.openxmlformats.org/officeDocument/2006/relationships/hyperlink" Target="http://www.csrmanagernetwork.it/home/" TargetMode="External"/><Relationship Id="rId12" Type="http://schemas.openxmlformats.org/officeDocument/2006/relationships/hyperlink" Target="mailto:laura.poggio@csrmanagernetwork.i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bcsd.org/home.asp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wbcsd.org/global-network.aspx" TargetMode="External"/><Relationship Id="rId4" Type="http://schemas.openxmlformats.org/officeDocument/2006/relationships/webSettings" Target="webSettings.xml"/><Relationship Id="rId9" Type="http://schemas.openxmlformats.org/officeDocument/2006/relationships/hyperlink" Target="http://altis.unicatt.i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1670</Words>
  <Characters>9519</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Poggio</dc:creator>
  <cp:keywords/>
  <dc:description/>
  <cp:lastModifiedBy>Laura Poggio</cp:lastModifiedBy>
  <cp:revision>4</cp:revision>
  <dcterms:created xsi:type="dcterms:W3CDTF">2018-02-12T13:10:00Z</dcterms:created>
  <dcterms:modified xsi:type="dcterms:W3CDTF">2018-02-14T16:19:00Z</dcterms:modified>
</cp:coreProperties>
</file>